
<file path=[Content_Types].xml><?xml version="1.0" encoding="utf-8"?>
<Types xmlns="http://schemas.openxmlformats.org/package/2006/content-types">
  <Default Extension="png" ContentType="image/png"/>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EB6" w:rsidRDefault="006D5EB6" w:rsidP="006D5EB6">
      <w:pPr>
        <w:rPr>
          <w:rFonts w:ascii="Times New Roman" w:hAnsi="Times New Roman" w:cs="Times New Roman"/>
          <w:sz w:val="40"/>
          <w:szCs w:val="40"/>
        </w:rPr>
      </w:pPr>
    </w:p>
    <w:p w:rsidR="006D5EB6" w:rsidRDefault="006D5EB6" w:rsidP="006D5EB6">
      <w:pPr>
        <w:rPr>
          <w:rFonts w:ascii="Times New Roman" w:hAnsi="Times New Roman" w:cs="Times New Roman"/>
          <w:sz w:val="40"/>
          <w:szCs w:val="40"/>
        </w:rPr>
      </w:pPr>
      <w:r>
        <w:rPr>
          <w:rFonts w:ascii="Times New Roman" w:hAnsi="Times New Roman" w:cs="Times New Roman"/>
          <w:noProof/>
          <w:sz w:val="40"/>
          <w:szCs w:val="40"/>
          <w:lang w:eastAsia="es-EC"/>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7" type="#_x0000_t98" style="position:absolute;margin-left:15.45pt;margin-top:0;width:414pt;height:548.25pt;z-index:251661312" fillcolor="white [3201]" strokecolor="#0f6fc6 [3204]" strokeweight="2.5pt">
            <v:shadow color="#868686"/>
            <v:textbox style="mso-next-textbox:#_x0000_s1027">
              <w:txbxContent>
                <w:p w:rsidR="006D5EB6" w:rsidRDefault="006D5EB6" w:rsidP="006D5EB6">
                  <w:pPr>
                    <w:rPr>
                      <w:b/>
                      <w:sz w:val="96"/>
                      <w:szCs w:val="96"/>
                    </w:rPr>
                  </w:pPr>
                </w:p>
                <w:p w:rsidR="006D5EB6" w:rsidRPr="009D62D7" w:rsidRDefault="006D5EB6" w:rsidP="006D5EB6">
                  <w:pPr>
                    <w:rPr>
                      <w:b/>
                      <w:sz w:val="96"/>
                      <w:szCs w:val="96"/>
                    </w:rPr>
                  </w:pPr>
                </w:p>
                <w:p w:rsidR="006D5EB6" w:rsidRPr="009D62D7" w:rsidRDefault="006D5EB6" w:rsidP="006D5EB6">
                  <w:pPr>
                    <w:rPr>
                      <w:b/>
                      <w:sz w:val="96"/>
                      <w:szCs w:val="96"/>
                    </w:rPr>
                  </w:pPr>
                  <w:r w:rsidRPr="005D29F5">
                    <w:rPr>
                      <w:b/>
                      <w:sz w:val="96"/>
                      <w:szCs w:val="96"/>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i1026" type="#_x0000_t161" style="width:318.85pt;height:170.2pt" adj="5665,10800" fillcolor="#0070c0" strokecolor="blue">
                        <v:shadow color="#868686"/>
                        <v:textpath style="font-family:&quot;Impact&quot;;v-text-kern:t" trim="t" fitpath="t" xscale="f" string="ARTICULACIÓN II"/>
                      </v:shape>
                    </w:pict>
                  </w:r>
                </w:p>
                <w:p w:rsidR="006D5EB6" w:rsidRPr="00822CF9" w:rsidRDefault="006D5EB6" w:rsidP="006D5EB6">
                  <w:pPr>
                    <w:rPr>
                      <w:rFonts w:ascii="Times New Roman" w:hAnsi="Times New Roman" w:cs="Times New Roman"/>
                      <w:b/>
                      <w:color w:val="00B0F0"/>
                      <w:sz w:val="130"/>
                      <w:szCs w:val="130"/>
                    </w:rPr>
                  </w:pPr>
                </w:p>
              </w:txbxContent>
            </v:textbox>
          </v:shape>
        </w:pict>
      </w:r>
    </w:p>
    <w:p w:rsidR="006D5EB6" w:rsidRDefault="006D5EB6" w:rsidP="006D5EB6">
      <w:pPr>
        <w:jc w:val="right"/>
        <w:rPr>
          <w:rFonts w:ascii="Times New Roman" w:hAnsi="Times New Roman" w:cs="Times New Roman"/>
          <w:sz w:val="40"/>
          <w:szCs w:val="40"/>
        </w:rPr>
      </w:pPr>
    </w:p>
    <w:p w:rsidR="006D5EB6" w:rsidRDefault="006D5EB6" w:rsidP="006D5EB6">
      <w:pPr>
        <w:jc w:val="right"/>
        <w:rPr>
          <w:rFonts w:ascii="Times New Roman" w:hAnsi="Times New Roman" w:cs="Times New Roman"/>
          <w:sz w:val="40"/>
          <w:szCs w:val="40"/>
        </w:rPr>
      </w:pPr>
    </w:p>
    <w:p w:rsidR="006D5EB6" w:rsidRDefault="006D5EB6" w:rsidP="006D5EB6">
      <w:pPr>
        <w:jc w:val="right"/>
        <w:rPr>
          <w:rFonts w:ascii="Times New Roman" w:hAnsi="Times New Roman" w:cs="Times New Roman"/>
          <w:sz w:val="40"/>
          <w:szCs w:val="40"/>
        </w:rPr>
      </w:pPr>
    </w:p>
    <w:p w:rsidR="006D5EB6" w:rsidRDefault="006D5EB6" w:rsidP="006D5EB6">
      <w:pPr>
        <w:jc w:val="right"/>
        <w:rPr>
          <w:rFonts w:ascii="Times New Roman" w:hAnsi="Times New Roman" w:cs="Times New Roman"/>
          <w:sz w:val="40"/>
          <w:szCs w:val="40"/>
        </w:rPr>
      </w:pPr>
    </w:p>
    <w:p w:rsidR="006D5EB6" w:rsidRDefault="006D5EB6" w:rsidP="006D5EB6">
      <w:pPr>
        <w:jc w:val="right"/>
        <w:rPr>
          <w:rFonts w:ascii="Times New Roman" w:hAnsi="Times New Roman" w:cs="Times New Roman"/>
          <w:sz w:val="40"/>
          <w:szCs w:val="40"/>
        </w:rPr>
      </w:pPr>
    </w:p>
    <w:p w:rsidR="006D5EB6" w:rsidRDefault="006D5EB6" w:rsidP="006D5EB6">
      <w:pPr>
        <w:jc w:val="right"/>
        <w:rPr>
          <w:rFonts w:ascii="Times New Roman" w:hAnsi="Times New Roman" w:cs="Times New Roman"/>
          <w:sz w:val="40"/>
          <w:szCs w:val="40"/>
        </w:rPr>
      </w:pPr>
    </w:p>
    <w:p w:rsidR="006D5EB6" w:rsidRDefault="006D5EB6" w:rsidP="006D5EB6">
      <w:pPr>
        <w:jc w:val="right"/>
        <w:rPr>
          <w:rFonts w:ascii="Times New Roman" w:hAnsi="Times New Roman" w:cs="Times New Roman"/>
          <w:sz w:val="40"/>
          <w:szCs w:val="40"/>
        </w:rPr>
      </w:pPr>
    </w:p>
    <w:p w:rsidR="006D5EB6" w:rsidRDefault="006D5EB6" w:rsidP="006D5EB6">
      <w:pPr>
        <w:jc w:val="right"/>
        <w:rPr>
          <w:rFonts w:ascii="Times New Roman" w:hAnsi="Times New Roman" w:cs="Times New Roman"/>
          <w:sz w:val="40"/>
          <w:szCs w:val="40"/>
        </w:rPr>
      </w:pPr>
    </w:p>
    <w:p w:rsidR="006D5EB6" w:rsidRDefault="006D5EB6" w:rsidP="006D5EB6">
      <w:pPr>
        <w:jc w:val="center"/>
        <w:rPr>
          <w:rFonts w:ascii="Times New Roman" w:hAnsi="Times New Roman" w:cs="Times New Roman"/>
          <w:sz w:val="40"/>
          <w:szCs w:val="40"/>
        </w:rPr>
      </w:pPr>
    </w:p>
    <w:p w:rsidR="006D5EB6" w:rsidRDefault="006D5EB6" w:rsidP="006D5EB6">
      <w:pPr>
        <w:rPr>
          <w:rFonts w:ascii="Times New Roman" w:hAnsi="Times New Roman" w:cs="Times New Roman"/>
          <w:sz w:val="40"/>
          <w:szCs w:val="40"/>
        </w:rPr>
      </w:pPr>
    </w:p>
    <w:p w:rsidR="006D5EB6" w:rsidRDefault="006D5EB6" w:rsidP="006D5EB6">
      <w:pPr>
        <w:rPr>
          <w:rFonts w:ascii="Times New Roman" w:hAnsi="Times New Roman" w:cs="Times New Roman"/>
          <w:sz w:val="40"/>
          <w:szCs w:val="40"/>
        </w:rPr>
      </w:pPr>
    </w:p>
    <w:p w:rsidR="006D5EB6" w:rsidRDefault="006D5EB6" w:rsidP="006D5EB6">
      <w:pPr>
        <w:rPr>
          <w:rFonts w:ascii="Times New Roman" w:hAnsi="Times New Roman" w:cs="Times New Roman"/>
          <w:sz w:val="40"/>
          <w:szCs w:val="40"/>
        </w:rPr>
      </w:pPr>
    </w:p>
    <w:p w:rsidR="006D5EB6" w:rsidRDefault="006D5EB6" w:rsidP="006D5EB6">
      <w:pPr>
        <w:rPr>
          <w:rFonts w:ascii="Times New Roman" w:hAnsi="Times New Roman" w:cs="Times New Roman"/>
          <w:sz w:val="40"/>
          <w:szCs w:val="40"/>
        </w:rPr>
      </w:pPr>
    </w:p>
    <w:p w:rsidR="006D5EB6" w:rsidRDefault="006D5EB6" w:rsidP="006D5EB6">
      <w:pPr>
        <w:rPr>
          <w:rFonts w:ascii="Times New Roman" w:hAnsi="Times New Roman" w:cs="Times New Roman"/>
          <w:sz w:val="40"/>
          <w:szCs w:val="40"/>
        </w:rPr>
      </w:pPr>
    </w:p>
    <w:p w:rsidR="006D5EB6" w:rsidRDefault="006D5EB6" w:rsidP="006D5EB6">
      <w:pPr>
        <w:rPr>
          <w:rFonts w:ascii="Times New Roman" w:hAnsi="Times New Roman" w:cs="Times New Roman"/>
          <w:sz w:val="40"/>
          <w:szCs w:val="40"/>
        </w:rPr>
      </w:pPr>
    </w:p>
    <w:p w:rsidR="006D5EB6" w:rsidRDefault="006D5EB6" w:rsidP="006D5EB6">
      <w:pPr>
        <w:spacing w:line="360" w:lineRule="auto"/>
        <w:jc w:val="center"/>
        <w:rPr>
          <w:rFonts w:ascii="Stencil" w:hAnsi="Stencil"/>
          <w:sz w:val="40"/>
          <w:szCs w:val="40"/>
        </w:rPr>
      </w:pPr>
    </w:p>
    <w:p w:rsidR="006D5EB6" w:rsidRDefault="006D5EB6" w:rsidP="006D5EB6">
      <w:pPr>
        <w:spacing w:line="360" w:lineRule="auto"/>
        <w:jc w:val="center"/>
        <w:rPr>
          <w:rFonts w:ascii="Stencil" w:hAnsi="Stencil"/>
          <w:sz w:val="40"/>
          <w:szCs w:val="40"/>
        </w:rPr>
      </w:pPr>
      <w:r>
        <w:rPr>
          <w:rFonts w:ascii="Stencil" w:hAnsi="Stencil"/>
          <w:noProof/>
          <w:sz w:val="40"/>
          <w:szCs w:val="40"/>
          <w:lang w:eastAsia="es-EC"/>
        </w:rPr>
        <w:lastRenderedPageBrea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_x0000_s1026" type="#_x0000_t64" style="position:absolute;left:0;text-align:left;margin-left:-.3pt;margin-top:5.9pt;width:441pt;height:471pt;z-index:-251656192" fillcolor="white [3201]" strokecolor="#0f6fc6 [3204]" strokeweight="1pt">
            <v:stroke dashstyle="dash"/>
            <v:shadow color="#868686"/>
          </v:shape>
        </w:pict>
      </w:r>
    </w:p>
    <w:p w:rsidR="006D5EB6" w:rsidRDefault="006D5EB6" w:rsidP="006D5EB6">
      <w:pPr>
        <w:spacing w:line="360" w:lineRule="auto"/>
        <w:jc w:val="center"/>
        <w:rPr>
          <w:rFonts w:ascii="Stencil" w:hAnsi="Stencil"/>
          <w:sz w:val="40"/>
          <w:szCs w:val="40"/>
        </w:rPr>
      </w:pPr>
    </w:p>
    <w:p w:rsidR="006D5EB6" w:rsidRDefault="006D5EB6" w:rsidP="006D5EB6">
      <w:pPr>
        <w:spacing w:line="360" w:lineRule="auto"/>
        <w:jc w:val="center"/>
        <w:rPr>
          <w:rFonts w:ascii="Stencil" w:hAnsi="Stencil"/>
          <w:sz w:val="40"/>
          <w:szCs w:val="40"/>
        </w:rPr>
      </w:pPr>
    </w:p>
    <w:p w:rsidR="006D5EB6" w:rsidRDefault="006D5EB6" w:rsidP="006D5EB6">
      <w:pPr>
        <w:spacing w:line="360" w:lineRule="auto"/>
        <w:jc w:val="center"/>
        <w:rPr>
          <w:rFonts w:ascii="Stencil" w:hAnsi="Stencil"/>
          <w:sz w:val="40"/>
          <w:szCs w:val="40"/>
        </w:rPr>
      </w:pPr>
    </w:p>
    <w:p w:rsidR="006D5EB6" w:rsidRDefault="006D5EB6" w:rsidP="006D5EB6">
      <w:pPr>
        <w:spacing w:line="360" w:lineRule="auto"/>
        <w:jc w:val="center"/>
        <w:rPr>
          <w:rFonts w:ascii="Stencil" w:hAnsi="Stencil"/>
          <w:sz w:val="40"/>
          <w:szCs w:val="40"/>
        </w:rPr>
      </w:pPr>
      <w:r w:rsidRPr="005D29F5">
        <w:rPr>
          <w:rFonts w:ascii="Stencil" w:hAnsi="Stencil"/>
          <w:sz w:val="40"/>
          <w:szCs w:val="4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36.7pt;height:104.75pt" fillcolor="#06c" strokecolor="#9cf" strokeweight="3pt">
            <v:fill r:id="rId6" o:title="Gotas de agua" type="tile"/>
            <v:shadow on="t" color="#900"/>
            <v:textpath style="font-family:&quot;Impact&quot;;v-text-kern:t" trim="t" fitpath="t" string="TRABAJOS &#10;INDIVIDUALES"/>
          </v:shape>
        </w:pict>
      </w:r>
    </w:p>
    <w:p w:rsidR="006D5EB6" w:rsidRDefault="006D5EB6" w:rsidP="006D5EB6">
      <w:pPr>
        <w:spacing w:line="360" w:lineRule="auto"/>
        <w:jc w:val="center"/>
        <w:rPr>
          <w:rFonts w:ascii="Stencil" w:hAnsi="Stencil"/>
          <w:sz w:val="40"/>
          <w:szCs w:val="40"/>
        </w:rPr>
      </w:pPr>
    </w:p>
    <w:p w:rsidR="006D5EB6" w:rsidRDefault="006D5EB6" w:rsidP="006D5EB6">
      <w:pPr>
        <w:spacing w:line="360" w:lineRule="auto"/>
        <w:jc w:val="center"/>
        <w:rPr>
          <w:rFonts w:ascii="Stencil" w:hAnsi="Stencil"/>
          <w:sz w:val="40"/>
          <w:szCs w:val="40"/>
        </w:rPr>
      </w:pPr>
    </w:p>
    <w:p w:rsidR="006D5EB6" w:rsidRDefault="006D5EB6" w:rsidP="006D5EB6">
      <w:pPr>
        <w:spacing w:line="360" w:lineRule="auto"/>
        <w:jc w:val="center"/>
        <w:rPr>
          <w:rFonts w:ascii="Stencil" w:hAnsi="Stencil"/>
          <w:sz w:val="40"/>
          <w:szCs w:val="40"/>
        </w:rPr>
      </w:pPr>
    </w:p>
    <w:p w:rsidR="006D5EB6" w:rsidRDefault="006D5EB6" w:rsidP="006D5EB6">
      <w:pPr>
        <w:spacing w:line="360" w:lineRule="auto"/>
        <w:jc w:val="center"/>
        <w:rPr>
          <w:rFonts w:ascii="Stencil" w:hAnsi="Stencil"/>
          <w:sz w:val="40"/>
          <w:szCs w:val="40"/>
        </w:rPr>
      </w:pPr>
    </w:p>
    <w:p w:rsidR="006D5EB6" w:rsidRDefault="006D5EB6" w:rsidP="006D5EB6">
      <w:pPr>
        <w:rPr>
          <w:rFonts w:ascii="Times New Roman" w:hAnsi="Times New Roman" w:cs="Times New Roman"/>
          <w:sz w:val="40"/>
          <w:szCs w:val="40"/>
        </w:rPr>
      </w:pPr>
    </w:p>
    <w:p w:rsidR="006D5EB6" w:rsidRDefault="006D5EB6" w:rsidP="006D5EB6">
      <w:pPr>
        <w:jc w:val="center"/>
        <w:rPr>
          <w:rFonts w:ascii="Times New Roman" w:hAnsi="Times New Roman" w:cs="Times New Roman"/>
          <w:sz w:val="52"/>
          <w:szCs w:val="52"/>
        </w:rPr>
      </w:pPr>
    </w:p>
    <w:p w:rsidR="0064559C" w:rsidRDefault="0064559C" w:rsidP="006D5EB6">
      <w:pPr>
        <w:jc w:val="center"/>
        <w:rPr>
          <w:rFonts w:ascii="Times New Roman" w:hAnsi="Times New Roman" w:cs="Times New Roman"/>
          <w:sz w:val="52"/>
          <w:szCs w:val="52"/>
        </w:rPr>
      </w:pPr>
    </w:p>
    <w:p w:rsidR="006D5EB6" w:rsidRPr="00650A68" w:rsidRDefault="006D5EB6" w:rsidP="006D5EB6">
      <w:pPr>
        <w:jc w:val="center"/>
        <w:rPr>
          <w:rFonts w:ascii="Times New Roman" w:hAnsi="Times New Roman" w:cs="Times New Roman"/>
          <w:sz w:val="52"/>
          <w:szCs w:val="52"/>
        </w:rPr>
      </w:pPr>
      <w:r w:rsidRPr="00650A68">
        <w:rPr>
          <w:rFonts w:ascii="Times New Roman" w:hAnsi="Times New Roman" w:cs="Times New Roman"/>
          <w:sz w:val="52"/>
          <w:szCs w:val="52"/>
        </w:rPr>
        <w:lastRenderedPageBreak/>
        <w:t>Universidad Regional Autónoma de los Andes</w:t>
      </w:r>
    </w:p>
    <w:p w:rsidR="006D5EB6" w:rsidRPr="00650A68" w:rsidRDefault="006D5EB6" w:rsidP="006D5EB6">
      <w:pPr>
        <w:jc w:val="center"/>
        <w:rPr>
          <w:rFonts w:ascii="Times New Roman" w:hAnsi="Times New Roman" w:cs="Times New Roman"/>
          <w:sz w:val="52"/>
          <w:szCs w:val="52"/>
        </w:rPr>
      </w:pPr>
      <w:r w:rsidRPr="00650A68">
        <w:rPr>
          <w:rFonts w:ascii="Times New Roman" w:hAnsi="Times New Roman" w:cs="Times New Roman"/>
          <w:noProof/>
          <w:sz w:val="52"/>
          <w:szCs w:val="52"/>
          <w:lang w:eastAsia="es-EC"/>
        </w:rPr>
        <w:drawing>
          <wp:anchor distT="0" distB="0" distL="114300" distR="114300" simplePos="0" relativeHeight="251662336" behindDoc="0" locked="0" layoutInCell="1" allowOverlap="1">
            <wp:simplePos x="0" y="0"/>
            <wp:positionH relativeFrom="column">
              <wp:posOffset>2053590</wp:posOffset>
            </wp:positionH>
            <wp:positionV relativeFrom="paragraph">
              <wp:posOffset>519431</wp:posOffset>
            </wp:positionV>
            <wp:extent cx="1457325" cy="971550"/>
            <wp:effectExtent l="19050" t="0" r="9525" b="0"/>
            <wp:wrapNone/>
            <wp:docPr id="6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457325" cy="971550"/>
                    </a:xfrm>
                    <a:prstGeom prst="rect">
                      <a:avLst/>
                    </a:prstGeom>
                    <a:noFill/>
                    <a:ln w="9525">
                      <a:noFill/>
                      <a:miter lim="800000"/>
                      <a:headEnd/>
                      <a:tailEnd/>
                    </a:ln>
                  </pic:spPr>
                </pic:pic>
              </a:graphicData>
            </a:graphic>
          </wp:anchor>
        </w:drawing>
      </w:r>
      <w:r w:rsidRPr="00650A68">
        <w:rPr>
          <w:rFonts w:ascii="Times New Roman" w:hAnsi="Times New Roman" w:cs="Times New Roman"/>
          <w:sz w:val="52"/>
          <w:szCs w:val="52"/>
        </w:rPr>
        <w:t>“UNIANDES”</w:t>
      </w:r>
    </w:p>
    <w:p w:rsidR="006D5EB6" w:rsidRPr="00650A68" w:rsidRDefault="006D5EB6" w:rsidP="006D5EB6">
      <w:pPr>
        <w:jc w:val="center"/>
        <w:rPr>
          <w:rFonts w:ascii="Times New Roman" w:hAnsi="Times New Roman" w:cs="Times New Roman"/>
          <w:sz w:val="52"/>
          <w:szCs w:val="52"/>
        </w:rPr>
      </w:pPr>
    </w:p>
    <w:p w:rsidR="006D5EB6" w:rsidRPr="00650A68" w:rsidRDefault="006D5EB6" w:rsidP="006D5EB6">
      <w:pPr>
        <w:jc w:val="center"/>
        <w:rPr>
          <w:rFonts w:ascii="Times New Roman" w:hAnsi="Times New Roman" w:cs="Times New Roman"/>
          <w:sz w:val="52"/>
          <w:szCs w:val="52"/>
        </w:rPr>
      </w:pPr>
    </w:p>
    <w:p w:rsidR="006D5EB6" w:rsidRPr="00650A68" w:rsidRDefault="006D5EB6" w:rsidP="006D5EB6">
      <w:pPr>
        <w:jc w:val="center"/>
        <w:rPr>
          <w:rFonts w:ascii="Times New Roman" w:hAnsi="Times New Roman" w:cs="Times New Roman"/>
          <w:sz w:val="52"/>
          <w:szCs w:val="52"/>
        </w:rPr>
      </w:pPr>
      <w:r w:rsidRPr="00650A68">
        <w:rPr>
          <w:rFonts w:ascii="Times New Roman" w:hAnsi="Times New Roman" w:cs="Times New Roman"/>
          <w:sz w:val="52"/>
          <w:szCs w:val="52"/>
        </w:rPr>
        <w:t>Facultad Sistemas Mercantiles</w:t>
      </w:r>
    </w:p>
    <w:p w:rsidR="006D5EB6" w:rsidRPr="00650A68" w:rsidRDefault="006D5EB6" w:rsidP="006D5EB6">
      <w:pPr>
        <w:jc w:val="center"/>
        <w:rPr>
          <w:rFonts w:ascii="Times New Roman" w:hAnsi="Times New Roman" w:cs="Times New Roman"/>
          <w:sz w:val="52"/>
          <w:szCs w:val="52"/>
        </w:rPr>
      </w:pPr>
      <w:r w:rsidRPr="00650A68">
        <w:rPr>
          <w:rFonts w:ascii="Times New Roman" w:hAnsi="Times New Roman" w:cs="Times New Roman"/>
          <w:sz w:val="52"/>
          <w:szCs w:val="52"/>
        </w:rPr>
        <w:t>Contabilidad y Auditoría</w:t>
      </w:r>
    </w:p>
    <w:p w:rsidR="006D5EB6" w:rsidRPr="00650A68" w:rsidRDefault="006D5EB6" w:rsidP="006D5EB6">
      <w:pPr>
        <w:jc w:val="center"/>
        <w:rPr>
          <w:rFonts w:ascii="Times New Roman" w:hAnsi="Times New Roman" w:cs="Times New Roman"/>
          <w:b/>
          <w:sz w:val="40"/>
          <w:szCs w:val="40"/>
        </w:rPr>
      </w:pPr>
      <w:r w:rsidRPr="00650A68">
        <w:rPr>
          <w:rFonts w:ascii="Times New Roman" w:hAnsi="Times New Roman" w:cs="Times New Roman"/>
          <w:b/>
          <w:sz w:val="40"/>
          <w:szCs w:val="40"/>
        </w:rPr>
        <w:t>TRABAJO DE FINANZAS</w:t>
      </w:r>
    </w:p>
    <w:p w:rsidR="006D5EB6" w:rsidRPr="00644879" w:rsidRDefault="006D5EB6" w:rsidP="006D5EB6">
      <w:pPr>
        <w:jc w:val="center"/>
        <w:rPr>
          <w:rFonts w:ascii="Times New Roman" w:hAnsi="Times New Roman" w:cs="Times New Roman"/>
          <w:b/>
          <w:sz w:val="44"/>
          <w:szCs w:val="52"/>
          <w:lang w:val="es-ES"/>
        </w:rPr>
      </w:pPr>
      <w:r>
        <w:rPr>
          <w:rFonts w:ascii="Times New Roman" w:hAnsi="Times New Roman" w:cs="Times New Roman"/>
          <w:b/>
          <w:noProof/>
          <w:sz w:val="44"/>
          <w:szCs w:val="48"/>
          <w:lang w:eastAsia="es-EC"/>
        </w:rPr>
        <w:drawing>
          <wp:anchor distT="0" distB="0" distL="0" distR="0" simplePos="0" relativeHeight="251663360" behindDoc="0" locked="0" layoutInCell="1" allowOverlap="1">
            <wp:simplePos x="0" y="0"/>
            <wp:positionH relativeFrom="column">
              <wp:posOffset>2567940</wp:posOffset>
            </wp:positionH>
            <wp:positionV relativeFrom="paragraph">
              <wp:posOffset>391795</wp:posOffset>
            </wp:positionV>
            <wp:extent cx="1323975" cy="704850"/>
            <wp:effectExtent l="19050" t="0" r="9525" b="0"/>
            <wp:wrapThrough wrapText="bothSides">
              <wp:wrapPolygon edited="0">
                <wp:start x="1243" y="0"/>
                <wp:lineTo x="-311" y="4086"/>
                <wp:lineTo x="-311" y="18681"/>
                <wp:lineTo x="932" y="21016"/>
                <wp:lineTo x="1243" y="21016"/>
                <wp:lineTo x="20201" y="21016"/>
                <wp:lineTo x="20512" y="21016"/>
                <wp:lineTo x="21755" y="19265"/>
                <wp:lineTo x="21755" y="4086"/>
                <wp:lineTo x="21134" y="584"/>
                <wp:lineTo x="20201" y="0"/>
                <wp:lineTo x="1243" y="0"/>
              </wp:wrapPolygon>
            </wp:wrapThrough>
            <wp:docPr id="70" name="Picture" descr="A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A description..."/>
                    <pic:cNvPicPr>
                      <a:picLocks noChangeAspect="1" noChangeArrowheads="1"/>
                    </pic:cNvPicPr>
                  </pic:nvPicPr>
                  <pic:blipFill>
                    <a:blip r:embed="rId8"/>
                    <a:srcRect/>
                    <a:stretch>
                      <a:fillRect/>
                    </a:stretch>
                  </pic:blipFill>
                  <pic:spPr bwMode="auto">
                    <a:xfrm>
                      <a:off x="0" y="0"/>
                      <a:ext cx="1323975" cy="704850"/>
                    </a:xfrm>
                    <a:prstGeom prst="rect">
                      <a:avLst/>
                    </a:prstGeom>
                    <a:ln>
                      <a:noFill/>
                    </a:ln>
                    <a:effectLst>
                      <a:softEdge rad="112500"/>
                    </a:effectLst>
                  </pic:spPr>
                </pic:pic>
              </a:graphicData>
            </a:graphic>
          </wp:anchor>
        </w:drawing>
      </w:r>
      <w:r w:rsidRPr="00644879">
        <w:rPr>
          <w:rFonts w:ascii="Times New Roman" w:hAnsi="Times New Roman" w:cs="Times New Roman"/>
          <w:b/>
          <w:sz w:val="44"/>
          <w:szCs w:val="48"/>
          <w:lang w:val="es-ES"/>
        </w:rPr>
        <w:t>TEMA</w:t>
      </w:r>
      <w:r w:rsidRPr="00644879">
        <w:rPr>
          <w:rFonts w:ascii="Times New Roman" w:hAnsi="Times New Roman" w:cs="Times New Roman"/>
          <w:sz w:val="48"/>
          <w:szCs w:val="52"/>
          <w:lang w:val="es-ES"/>
        </w:rPr>
        <w:t xml:space="preserve">: </w:t>
      </w:r>
      <w:r w:rsidRPr="00644879">
        <w:rPr>
          <w:rFonts w:ascii="Times New Roman" w:hAnsi="Times New Roman" w:cs="Times New Roman"/>
          <w:b/>
          <w:sz w:val="44"/>
          <w:szCs w:val="52"/>
          <w:lang w:val="es-ES"/>
        </w:rPr>
        <w:t>NIIF</w:t>
      </w:r>
    </w:p>
    <w:p w:rsidR="006D5EB6" w:rsidRPr="00644879" w:rsidRDefault="006D5EB6" w:rsidP="006D5EB6">
      <w:pPr>
        <w:jc w:val="center"/>
        <w:rPr>
          <w:rFonts w:ascii="Times New Roman" w:hAnsi="Times New Roman" w:cs="Times New Roman"/>
          <w:b/>
          <w:sz w:val="44"/>
          <w:szCs w:val="52"/>
          <w:lang w:val="es-ES"/>
        </w:rPr>
      </w:pPr>
    </w:p>
    <w:p w:rsidR="006D5EB6" w:rsidRPr="00644879" w:rsidRDefault="006D5EB6" w:rsidP="006D5EB6">
      <w:pPr>
        <w:rPr>
          <w:rFonts w:ascii="Times New Roman" w:hAnsi="Times New Roman" w:cs="Times New Roman"/>
          <w:b/>
          <w:sz w:val="44"/>
          <w:szCs w:val="52"/>
          <w:lang w:val="es-ES"/>
        </w:rPr>
      </w:pPr>
    </w:p>
    <w:p w:rsidR="006D5EB6" w:rsidRPr="00644879" w:rsidRDefault="006D5EB6" w:rsidP="006D5EB6">
      <w:pPr>
        <w:jc w:val="center"/>
        <w:rPr>
          <w:rFonts w:ascii="Times New Roman" w:hAnsi="Times New Roman" w:cs="Times New Roman"/>
          <w:sz w:val="52"/>
          <w:szCs w:val="52"/>
          <w:lang w:val="es-ES"/>
        </w:rPr>
      </w:pPr>
      <w:r w:rsidRPr="00644879">
        <w:rPr>
          <w:rFonts w:ascii="Times New Roman" w:hAnsi="Times New Roman" w:cs="Times New Roman"/>
          <w:b/>
          <w:sz w:val="52"/>
          <w:szCs w:val="52"/>
          <w:lang w:val="es-ES"/>
        </w:rPr>
        <w:t>Ing.</w:t>
      </w:r>
      <w:r w:rsidRPr="00644879">
        <w:rPr>
          <w:rFonts w:ascii="Times New Roman" w:hAnsi="Times New Roman" w:cs="Times New Roman"/>
          <w:sz w:val="52"/>
          <w:szCs w:val="52"/>
          <w:lang w:val="es-ES"/>
        </w:rPr>
        <w:t xml:space="preserve"> Danny Sandoval</w:t>
      </w:r>
    </w:p>
    <w:p w:rsidR="006D5EB6" w:rsidRPr="00650A68" w:rsidRDefault="006D5EB6" w:rsidP="006D5EB6">
      <w:pPr>
        <w:spacing w:after="0" w:line="360" w:lineRule="auto"/>
        <w:jc w:val="center"/>
        <w:rPr>
          <w:rFonts w:ascii="Times New Roman" w:hAnsi="Times New Roman" w:cs="Times New Roman"/>
          <w:sz w:val="52"/>
          <w:szCs w:val="52"/>
        </w:rPr>
      </w:pPr>
      <w:r>
        <w:rPr>
          <w:rFonts w:ascii="Times New Roman" w:hAnsi="Times New Roman" w:cs="Times New Roman"/>
          <w:b/>
          <w:sz w:val="52"/>
          <w:szCs w:val="52"/>
        </w:rPr>
        <w:t xml:space="preserve">Nombre: </w:t>
      </w:r>
      <w:r w:rsidRPr="00650A68">
        <w:rPr>
          <w:rFonts w:ascii="Times New Roman" w:hAnsi="Times New Roman" w:cs="Times New Roman"/>
          <w:sz w:val="52"/>
          <w:szCs w:val="52"/>
        </w:rPr>
        <w:t>Pozo Diana</w:t>
      </w:r>
    </w:p>
    <w:p w:rsidR="006D5EB6" w:rsidRPr="00650A68" w:rsidRDefault="006D5EB6" w:rsidP="006D5EB6">
      <w:pPr>
        <w:spacing w:after="0" w:line="360" w:lineRule="auto"/>
        <w:jc w:val="center"/>
        <w:rPr>
          <w:rFonts w:ascii="Times New Roman" w:hAnsi="Times New Roman" w:cs="Times New Roman"/>
          <w:sz w:val="52"/>
          <w:szCs w:val="52"/>
        </w:rPr>
      </w:pPr>
      <w:r w:rsidRPr="00650A68">
        <w:rPr>
          <w:rFonts w:ascii="Times New Roman" w:hAnsi="Times New Roman" w:cs="Times New Roman"/>
          <w:sz w:val="52"/>
          <w:szCs w:val="52"/>
        </w:rPr>
        <w:t>Quinto Nivel</w:t>
      </w:r>
    </w:p>
    <w:p w:rsidR="006D5EB6" w:rsidRPr="0016227B" w:rsidRDefault="006D5EB6" w:rsidP="006D5EB6">
      <w:pPr>
        <w:spacing w:line="360" w:lineRule="auto"/>
        <w:jc w:val="right"/>
        <w:rPr>
          <w:rFonts w:ascii="Times New Roman" w:hAnsi="Times New Roman" w:cs="Times New Roman"/>
          <w:sz w:val="52"/>
          <w:szCs w:val="52"/>
        </w:rPr>
      </w:pPr>
      <w:r>
        <w:rPr>
          <w:rFonts w:ascii="Times New Roman" w:hAnsi="Times New Roman" w:cs="Times New Roman"/>
          <w:sz w:val="52"/>
          <w:szCs w:val="52"/>
        </w:rPr>
        <w:t>07 de noviembre de 2012</w:t>
      </w:r>
    </w:p>
    <w:p w:rsidR="006D5EB6" w:rsidRDefault="006D5EB6" w:rsidP="006D5EB6">
      <w:pPr>
        <w:spacing w:line="360" w:lineRule="auto"/>
        <w:jc w:val="center"/>
        <w:rPr>
          <w:rFonts w:ascii="Times New Roman" w:hAnsi="Times New Roman" w:cs="Times New Roman"/>
          <w:b/>
          <w:sz w:val="24"/>
          <w:szCs w:val="24"/>
        </w:rPr>
      </w:pPr>
    </w:p>
    <w:p w:rsidR="006D5EB6" w:rsidRDefault="006D5EB6" w:rsidP="006D5EB6">
      <w:pPr>
        <w:spacing w:line="360" w:lineRule="auto"/>
        <w:jc w:val="center"/>
        <w:rPr>
          <w:rFonts w:ascii="Times New Roman" w:hAnsi="Times New Roman" w:cs="Times New Roman"/>
          <w:b/>
          <w:sz w:val="24"/>
          <w:szCs w:val="24"/>
        </w:rPr>
      </w:pPr>
      <w:r w:rsidRPr="00AB191B">
        <w:rPr>
          <w:rFonts w:ascii="Times New Roman" w:hAnsi="Times New Roman" w:cs="Times New Roman"/>
          <w:b/>
          <w:sz w:val="24"/>
          <w:szCs w:val="24"/>
        </w:rPr>
        <w:t>INTRODUCCIÓN</w:t>
      </w:r>
    </w:p>
    <w:p w:rsidR="006D5EB6" w:rsidRDefault="006D5EB6" w:rsidP="006D5EB6">
      <w:pPr>
        <w:spacing w:line="600" w:lineRule="auto"/>
        <w:jc w:val="both"/>
        <w:rPr>
          <w:rFonts w:ascii="Times New Roman" w:hAnsi="Times New Roman" w:cs="Times New Roman"/>
          <w:sz w:val="24"/>
          <w:szCs w:val="24"/>
        </w:rPr>
      </w:pPr>
      <w:r w:rsidRPr="009D07C4">
        <w:rPr>
          <w:rFonts w:ascii="Times New Roman" w:hAnsi="Times New Roman" w:cs="Times New Roman"/>
          <w:sz w:val="24"/>
          <w:szCs w:val="24"/>
        </w:rPr>
        <w:t xml:space="preserve">El presente trabajo se trata del estudio de las Normas Internacionales de Información Financiera (NIIF). Las normas contables NIIF se refieren al proceso de reforma contable iniciado hace unos años en la Unión Europea para conseguir que la información elaborada por las sociedades comunitarias se rija por un único cuerpo normativo. </w:t>
      </w:r>
    </w:p>
    <w:p w:rsidR="006D5EB6" w:rsidRPr="009D07C4" w:rsidRDefault="006D5EB6" w:rsidP="006D5EB6">
      <w:pPr>
        <w:spacing w:line="600" w:lineRule="auto"/>
        <w:jc w:val="both"/>
        <w:rPr>
          <w:rFonts w:ascii="Times New Roman" w:hAnsi="Times New Roman" w:cs="Times New Roman"/>
          <w:sz w:val="24"/>
          <w:szCs w:val="24"/>
        </w:rPr>
      </w:pPr>
      <w:r w:rsidRPr="009D07C4">
        <w:rPr>
          <w:rFonts w:ascii="Times New Roman" w:hAnsi="Times New Roman" w:cs="Times New Roman"/>
          <w:sz w:val="24"/>
          <w:szCs w:val="24"/>
        </w:rPr>
        <w:t xml:space="preserve">El objetivo de las NIIF es pretender reducir las diferencias contables Internacionales con el objetivo principal que en los Estados Financieros revelen información que permitan a los usuarios evaluar su situación financiera y económica de la empresa y ayudar en el proceso de toma de decisiones. </w:t>
      </w:r>
    </w:p>
    <w:p w:rsidR="006D5EB6" w:rsidRPr="009D07C4" w:rsidRDefault="006D5EB6" w:rsidP="006D5EB6">
      <w:pPr>
        <w:spacing w:line="600" w:lineRule="auto"/>
        <w:jc w:val="both"/>
        <w:rPr>
          <w:rFonts w:ascii="Times New Roman" w:hAnsi="Times New Roman" w:cs="Times New Roman"/>
          <w:sz w:val="24"/>
          <w:szCs w:val="24"/>
        </w:rPr>
      </w:pPr>
      <w:r w:rsidRPr="009D07C4">
        <w:rPr>
          <w:rFonts w:ascii="Times New Roman" w:hAnsi="Times New Roman" w:cs="Times New Roman"/>
          <w:sz w:val="24"/>
          <w:szCs w:val="24"/>
        </w:rPr>
        <w:t>En este trabajo se detallarán cada una de las Normas Internacionales de Información Financiera (NIIF) con su respectiva aplicación.</w:t>
      </w:r>
    </w:p>
    <w:p w:rsidR="006D5EB6" w:rsidRPr="009D07C4" w:rsidRDefault="006D5EB6" w:rsidP="006D5EB6">
      <w:pPr>
        <w:spacing w:after="0" w:line="600" w:lineRule="auto"/>
        <w:jc w:val="both"/>
        <w:rPr>
          <w:rFonts w:ascii="Times New Roman" w:eastAsia="Times New Roman" w:hAnsi="Times New Roman" w:cs="Times New Roman"/>
          <w:color w:val="000000"/>
          <w:sz w:val="24"/>
          <w:szCs w:val="24"/>
          <w:lang w:eastAsia="es-ES"/>
        </w:rPr>
      </w:pPr>
    </w:p>
    <w:p w:rsidR="006D5EB6" w:rsidRDefault="006D5EB6" w:rsidP="006D5EB6">
      <w:pPr>
        <w:spacing w:after="0" w:line="360" w:lineRule="auto"/>
        <w:jc w:val="both"/>
        <w:rPr>
          <w:rFonts w:ascii="Times New Roman" w:eastAsia="Times New Roman" w:hAnsi="Times New Roman" w:cs="Times New Roman"/>
          <w:color w:val="000000"/>
          <w:sz w:val="24"/>
          <w:szCs w:val="24"/>
          <w:lang w:val="es-ES" w:eastAsia="es-ES"/>
        </w:rPr>
      </w:pPr>
    </w:p>
    <w:p w:rsidR="006D5EB6" w:rsidRDefault="006D5EB6" w:rsidP="006D5EB6">
      <w:pPr>
        <w:spacing w:after="0" w:line="360" w:lineRule="auto"/>
        <w:jc w:val="both"/>
        <w:rPr>
          <w:rFonts w:ascii="Times New Roman" w:eastAsia="Times New Roman" w:hAnsi="Times New Roman" w:cs="Times New Roman"/>
          <w:color w:val="000000"/>
          <w:sz w:val="24"/>
          <w:szCs w:val="24"/>
          <w:lang w:val="es-ES" w:eastAsia="es-ES"/>
        </w:rPr>
      </w:pPr>
    </w:p>
    <w:p w:rsidR="006D5EB6" w:rsidRDefault="006D5EB6" w:rsidP="006D5EB6">
      <w:pPr>
        <w:spacing w:after="0" w:line="360" w:lineRule="auto"/>
        <w:jc w:val="both"/>
        <w:rPr>
          <w:rFonts w:ascii="Times New Roman" w:eastAsia="Times New Roman" w:hAnsi="Times New Roman" w:cs="Times New Roman"/>
          <w:color w:val="000000"/>
          <w:sz w:val="24"/>
          <w:szCs w:val="24"/>
          <w:lang w:val="es-ES" w:eastAsia="es-ES"/>
        </w:rPr>
      </w:pPr>
    </w:p>
    <w:p w:rsidR="006D5EB6" w:rsidRDefault="006D5EB6" w:rsidP="006D5EB6">
      <w:pPr>
        <w:spacing w:after="0" w:line="360" w:lineRule="auto"/>
        <w:jc w:val="both"/>
        <w:rPr>
          <w:rFonts w:ascii="Times New Roman" w:eastAsia="Times New Roman" w:hAnsi="Times New Roman" w:cs="Times New Roman"/>
          <w:color w:val="000000"/>
          <w:sz w:val="24"/>
          <w:szCs w:val="24"/>
          <w:lang w:val="es-ES" w:eastAsia="es-ES"/>
        </w:rPr>
      </w:pPr>
    </w:p>
    <w:p w:rsidR="006D5EB6" w:rsidRDefault="006D5EB6" w:rsidP="006D5EB6">
      <w:pPr>
        <w:spacing w:after="0" w:line="360" w:lineRule="auto"/>
        <w:jc w:val="both"/>
        <w:rPr>
          <w:rFonts w:ascii="Times New Roman" w:eastAsia="Times New Roman" w:hAnsi="Times New Roman" w:cs="Times New Roman"/>
          <w:color w:val="000000"/>
          <w:sz w:val="24"/>
          <w:szCs w:val="24"/>
          <w:lang w:val="es-ES" w:eastAsia="es-ES"/>
        </w:rPr>
      </w:pPr>
    </w:p>
    <w:p w:rsidR="006D5EB6" w:rsidRDefault="006D5EB6" w:rsidP="006D5EB6">
      <w:pPr>
        <w:spacing w:after="0" w:line="360" w:lineRule="auto"/>
        <w:jc w:val="both"/>
        <w:rPr>
          <w:rFonts w:ascii="Times New Roman" w:eastAsia="Times New Roman" w:hAnsi="Times New Roman" w:cs="Times New Roman"/>
          <w:color w:val="000000"/>
          <w:sz w:val="24"/>
          <w:szCs w:val="24"/>
          <w:lang w:val="es-ES" w:eastAsia="es-ES"/>
        </w:rPr>
      </w:pPr>
    </w:p>
    <w:p w:rsidR="006D5EB6" w:rsidRDefault="006D5EB6" w:rsidP="006D5EB6">
      <w:pPr>
        <w:spacing w:after="0" w:line="360" w:lineRule="auto"/>
        <w:jc w:val="both"/>
        <w:rPr>
          <w:rFonts w:ascii="Times New Roman" w:eastAsia="Times New Roman" w:hAnsi="Times New Roman" w:cs="Times New Roman"/>
          <w:color w:val="000000"/>
          <w:sz w:val="24"/>
          <w:szCs w:val="24"/>
          <w:lang w:val="es-ES" w:eastAsia="es-ES"/>
        </w:rPr>
      </w:pPr>
    </w:p>
    <w:p w:rsidR="006D5EB6" w:rsidRDefault="006D5EB6" w:rsidP="006D5EB6">
      <w:pPr>
        <w:spacing w:after="0" w:line="360" w:lineRule="auto"/>
        <w:jc w:val="both"/>
        <w:rPr>
          <w:rFonts w:ascii="Times New Roman" w:eastAsia="Times New Roman" w:hAnsi="Times New Roman" w:cs="Times New Roman"/>
          <w:color w:val="000000"/>
          <w:sz w:val="24"/>
          <w:szCs w:val="24"/>
          <w:lang w:val="es-ES" w:eastAsia="es-ES"/>
        </w:rPr>
      </w:pPr>
    </w:p>
    <w:p w:rsidR="006D5EB6" w:rsidRPr="00A81FF8" w:rsidRDefault="006D5EB6" w:rsidP="006D5EB6">
      <w:pPr>
        <w:spacing w:line="480" w:lineRule="auto"/>
        <w:jc w:val="both"/>
        <w:rPr>
          <w:rFonts w:ascii="Times New Roman" w:hAnsi="Times New Roman" w:cs="Times New Roman"/>
          <w:b/>
          <w:sz w:val="24"/>
          <w:szCs w:val="24"/>
        </w:rPr>
      </w:pPr>
      <w:r w:rsidRPr="00A81FF8">
        <w:rPr>
          <w:rFonts w:ascii="Times New Roman" w:hAnsi="Times New Roman" w:cs="Times New Roman"/>
          <w:b/>
          <w:sz w:val="24"/>
          <w:szCs w:val="24"/>
        </w:rPr>
        <w:lastRenderedPageBreak/>
        <w:t>OBJETIVOS</w:t>
      </w:r>
    </w:p>
    <w:p w:rsidR="006D5EB6" w:rsidRDefault="006D5EB6" w:rsidP="006D5EB6">
      <w:pPr>
        <w:spacing w:line="480" w:lineRule="auto"/>
        <w:jc w:val="both"/>
        <w:rPr>
          <w:rFonts w:ascii="Times New Roman" w:hAnsi="Times New Roman" w:cs="Times New Roman"/>
          <w:b/>
          <w:sz w:val="24"/>
          <w:szCs w:val="24"/>
        </w:rPr>
      </w:pPr>
      <w:r w:rsidRPr="00A81FF8">
        <w:rPr>
          <w:rFonts w:ascii="Times New Roman" w:hAnsi="Times New Roman" w:cs="Times New Roman"/>
          <w:b/>
          <w:sz w:val="24"/>
          <w:szCs w:val="24"/>
        </w:rPr>
        <w:t>OBJETIVO GENERAL:</w:t>
      </w:r>
    </w:p>
    <w:p w:rsidR="006D5EB6" w:rsidRPr="00B664FF" w:rsidRDefault="006D5EB6" w:rsidP="006D5EB6">
      <w:pPr>
        <w:shd w:val="clear" w:color="auto" w:fill="FFFFFF"/>
        <w:spacing w:before="135" w:after="135" w:line="48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 xml:space="preserve">Obtener amplios conocimientos acerca de cada una de las </w:t>
      </w:r>
      <w:r w:rsidRPr="009D07C4">
        <w:rPr>
          <w:rFonts w:ascii="Times New Roman" w:hAnsi="Times New Roman" w:cs="Times New Roman"/>
          <w:sz w:val="24"/>
          <w:szCs w:val="24"/>
        </w:rPr>
        <w:t>Normas Internacionales de Información Financiera (NIIF</w:t>
      </w:r>
      <w:r>
        <w:rPr>
          <w:rFonts w:ascii="Times New Roman" w:hAnsi="Times New Roman" w:cs="Times New Roman"/>
          <w:sz w:val="24"/>
          <w:szCs w:val="24"/>
        </w:rPr>
        <w:t>).</w:t>
      </w:r>
    </w:p>
    <w:p w:rsidR="006D5EB6" w:rsidRPr="006C4276" w:rsidRDefault="006D5EB6" w:rsidP="006D5EB6">
      <w:pPr>
        <w:shd w:val="clear" w:color="auto" w:fill="FFFFFF"/>
        <w:spacing w:before="135" w:after="135" w:line="480" w:lineRule="auto"/>
        <w:jc w:val="both"/>
        <w:rPr>
          <w:rFonts w:ascii="Times New Roman" w:eastAsia="Times New Roman" w:hAnsi="Times New Roman" w:cs="Times New Roman"/>
          <w:b/>
          <w:sz w:val="24"/>
          <w:szCs w:val="24"/>
          <w:lang w:eastAsia="es-ES"/>
        </w:rPr>
      </w:pPr>
      <w:r w:rsidRPr="006C4276">
        <w:rPr>
          <w:rFonts w:ascii="Times New Roman" w:eastAsia="Times New Roman" w:hAnsi="Times New Roman" w:cs="Times New Roman"/>
          <w:b/>
          <w:sz w:val="24"/>
          <w:szCs w:val="24"/>
          <w:lang w:eastAsia="es-ES"/>
        </w:rPr>
        <w:t>OBJETIVOS ESPECÍFICOS</w:t>
      </w:r>
    </w:p>
    <w:p w:rsidR="006D5EB6" w:rsidRDefault="006D5EB6" w:rsidP="00FA4FAF">
      <w:pPr>
        <w:pStyle w:val="Prrafodelista"/>
        <w:numPr>
          <w:ilvl w:val="0"/>
          <w:numId w:val="1"/>
        </w:numPr>
        <w:shd w:val="clear" w:color="auto" w:fill="FFFFFF"/>
        <w:spacing w:before="135" w:after="135" w:line="48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Recopilar información acerca de las NIFF.</w:t>
      </w:r>
    </w:p>
    <w:p w:rsidR="006D5EB6" w:rsidRPr="00B664FF" w:rsidRDefault="006D5EB6" w:rsidP="00FA4FAF">
      <w:pPr>
        <w:pStyle w:val="Prrafodelista"/>
        <w:numPr>
          <w:ilvl w:val="0"/>
          <w:numId w:val="1"/>
        </w:numPr>
        <w:shd w:val="clear" w:color="auto" w:fill="FFFFFF"/>
        <w:spacing w:before="135" w:after="135" w:line="48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Sintetizar cada una de las NIIF.</w:t>
      </w:r>
    </w:p>
    <w:p w:rsidR="006D5EB6" w:rsidRPr="009D07C4" w:rsidRDefault="006D5EB6" w:rsidP="00FA4FAF">
      <w:pPr>
        <w:pStyle w:val="Prrafodelista"/>
        <w:numPr>
          <w:ilvl w:val="0"/>
          <w:numId w:val="1"/>
        </w:numPr>
        <w:shd w:val="clear" w:color="auto" w:fill="FFFFFF"/>
        <w:spacing w:before="135" w:after="135" w:line="48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Aplicar en el futuro lo aprendido.</w:t>
      </w:r>
    </w:p>
    <w:p w:rsidR="006D5EB6" w:rsidRDefault="006D5EB6" w:rsidP="006D5EB6">
      <w:pPr>
        <w:spacing w:after="0" w:line="360" w:lineRule="auto"/>
        <w:jc w:val="both"/>
        <w:rPr>
          <w:rFonts w:ascii="Times New Roman" w:hAnsi="Times New Roman" w:cs="Times New Roman"/>
          <w:b/>
          <w:sz w:val="24"/>
          <w:szCs w:val="24"/>
        </w:rPr>
      </w:pPr>
    </w:p>
    <w:p w:rsidR="006D5EB6" w:rsidRDefault="006D5EB6" w:rsidP="006D5EB6">
      <w:pPr>
        <w:spacing w:after="0" w:line="360" w:lineRule="auto"/>
        <w:jc w:val="both"/>
        <w:rPr>
          <w:rFonts w:ascii="Times New Roman" w:hAnsi="Times New Roman" w:cs="Times New Roman"/>
          <w:b/>
          <w:sz w:val="24"/>
          <w:szCs w:val="24"/>
        </w:rPr>
      </w:pPr>
    </w:p>
    <w:p w:rsidR="006D5EB6" w:rsidRDefault="006D5EB6" w:rsidP="006D5EB6">
      <w:pPr>
        <w:spacing w:after="0" w:line="360" w:lineRule="auto"/>
        <w:jc w:val="both"/>
        <w:rPr>
          <w:rFonts w:ascii="Times New Roman" w:hAnsi="Times New Roman" w:cs="Times New Roman"/>
          <w:b/>
          <w:sz w:val="24"/>
          <w:szCs w:val="24"/>
        </w:rPr>
      </w:pPr>
    </w:p>
    <w:p w:rsidR="006D5EB6" w:rsidRDefault="006D5EB6" w:rsidP="006D5EB6">
      <w:pPr>
        <w:spacing w:after="0" w:line="360" w:lineRule="auto"/>
        <w:jc w:val="both"/>
        <w:rPr>
          <w:rFonts w:ascii="Times New Roman" w:hAnsi="Times New Roman" w:cs="Times New Roman"/>
          <w:b/>
          <w:sz w:val="24"/>
          <w:szCs w:val="24"/>
        </w:rPr>
      </w:pPr>
    </w:p>
    <w:p w:rsidR="006D5EB6" w:rsidRDefault="006D5EB6" w:rsidP="006D5EB6">
      <w:pPr>
        <w:spacing w:after="0" w:line="360" w:lineRule="auto"/>
        <w:jc w:val="both"/>
        <w:rPr>
          <w:rFonts w:ascii="Times New Roman" w:hAnsi="Times New Roman" w:cs="Times New Roman"/>
          <w:b/>
          <w:sz w:val="24"/>
          <w:szCs w:val="24"/>
        </w:rPr>
      </w:pPr>
    </w:p>
    <w:p w:rsidR="006D5EB6" w:rsidRDefault="006D5EB6" w:rsidP="006D5EB6"/>
    <w:p w:rsidR="006D5EB6" w:rsidRDefault="006D5EB6" w:rsidP="006D5EB6"/>
    <w:p w:rsidR="006D5EB6" w:rsidRDefault="006D5EB6" w:rsidP="006D5EB6"/>
    <w:p w:rsidR="006D5EB6" w:rsidRDefault="006D5EB6" w:rsidP="006D5EB6"/>
    <w:p w:rsidR="006D5EB6" w:rsidRDefault="006D5EB6" w:rsidP="006D5EB6"/>
    <w:p w:rsidR="006D5EB6" w:rsidRDefault="006D5EB6" w:rsidP="006D5EB6"/>
    <w:p w:rsidR="006D5EB6" w:rsidRDefault="006D5EB6" w:rsidP="006D5EB6"/>
    <w:p w:rsidR="006D5EB6" w:rsidRDefault="006D5EB6" w:rsidP="006D5EB6"/>
    <w:p w:rsidR="006D5EB6" w:rsidRDefault="006D5EB6" w:rsidP="006D5EB6"/>
    <w:p w:rsidR="006D5EB6" w:rsidRDefault="006D5EB6" w:rsidP="006D5EB6"/>
    <w:p w:rsidR="006D5EB6" w:rsidRDefault="006D5EB6" w:rsidP="006D5EB6"/>
    <w:p w:rsidR="006D5EB6" w:rsidRDefault="006D5EB6" w:rsidP="006D5EB6">
      <w:pPr>
        <w:jc w:val="center"/>
        <w:rPr>
          <w:rFonts w:ascii="Times New Roman" w:hAnsi="Times New Roman" w:cs="Times New Roman"/>
          <w:b/>
          <w:sz w:val="24"/>
          <w:szCs w:val="24"/>
        </w:rPr>
      </w:pPr>
      <w:r w:rsidRPr="009D07C4">
        <w:rPr>
          <w:rFonts w:ascii="Times New Roman" w:hAnsi="Times New Roman" w:cs="Times New Roman"/>
          <w:b/>
          <w:sz w:val="24"/>
          <w:szCs w:val="24"/>
        </w:rPr>
        <w:lastRenderedPageBreak/>
        <w:t>NORMAS INTERNACIONALES DE INFORMACIÓN FINANCIERA (NIIF).</w:t>
      </w:r>
    </w:p>
    <w:p w:rsidR="006D5EB6" w:rsidRDefault="006D5EB6" w:rsidP="006D5EB6">
      <w:pPr>
        <w:tabs>
          <w:tab w:val="left" w:pos="8789"/>
          <w:tab w:val="left" w:pos="8931"/>
        </w:tabs>
        <w:jc w:val="center"/>
        <w:rPr>
          <w:rFonts w:ascii="Times New Roman" w:hAnsi="Times New Roman" w:cs="Times New Roman"/>
          <w:b/>
          <w:sz w:val="24"/>
          <w:szCs w:val="24"/>
        </w:rPr>
      </w:pPr>
      <w:r w:rsidRPr="009D07C4">
        <w:rPr>
          <w:rFonts w:ascii="Times New Roman" w:hAnsi="Times New Roman" w:cs="Times New Roman"/>
          <w:b/>
          <w:noProof/>
          <w:sz w:val="24"/>
          <w:szCs w:val="24"/>
          <w:lang w:eastAsia="es-EC"/>
        </w:rPr>
        <w:drawing>
          <wp:inline distT="0" distB="0" distL="0" distR="0">
            <wp:extent cx="5810250" cy="7362825"/>
            <wp:effectExtent l="76200" t="19050" r="19050" b="0"/>
            <wp:docPr id="71"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6D5EB6" w:rsidRDefault="006D5EB6" w:rsidP="006D5EB6">
      <w:pPr>
        <w:tabs>
          <w:tab w:val="left" w:pos="8789"/>
          <w:tab w:val="left" w:pos="8931"/>
        </w:tabs>
        <w:spacing w:line="360" w:lineRule="auto"/>
        <w:jc w:val="both"/>
        <w:rPr>
          <w:rFonts w:ascii="Times New Roman" w:hAnsi="Times New Roman" w:cs="Times New Roman"/>
          <w:b/>
          <w:sz w:val="24"/>
          <w:szCs w:val="24"/>
        </w:rPr>
      </w:pPr>
    </w:p>
    <w:p w:rsidR="006D5EB6" w:rsidRPr="00F50C55" w:rsidRDefault="006D5EB6" w:rsidP="006D5EB6">
      <w:pPr>
        <w:tabs>
          <w:tab w:val="left" w:pos="8789"/>
          <w:tab w:val="left" w:pos="8931"/>
        </w:tabs>
        <w:spacing w:line="360" w:lineRule="auto"/>
        <w:jc w:val="center"/>
        <w:rPr>
          <w:rFonts w:ascii="Times New Roman" w:hAnsi="Times New Roman" w:cs="Times New Roman"/>
          <w:b/>
          <w:sz w:val="24"/>
          <w:szCs w:val="24"/>
          <w:u w:val="single"/>
        </w:rPr>
      </w:pPr>
      <w:r w:rsidRPr="00F50C55">
        <w:rPr>
          <w:rFonts w:ascii="Times New Roman" w:hAnsi="Times New Roman" w:cs="Times New Roman"/>
          <w:b/>
          <w:bCs/>
          <w:sz w:val="24"/>
          <w:szCs w:val="24"/>
        </w:rPr>
        <w:lastRenderedPageBreak/>
        <w:t xml:space="preserve">NIIF 1. </w:t>
      </w:r>
      <w:r w:rsidRPr="00F50C55">
        <w:rPr>
          <w:rFonts w:ascii="Times New Roman" w:hAnsi="Times New Roman" w:cs="Times New Roman"/>
          <w:b/>
          <w:sz w:val="24"/>
          <w:szCs w:val="24"/>
          <w:u w:val="single"/>
        </w:rPr>
        <w:t>Adopción por Primera vez de las Normas Internacionales de Información Financiera.</w:t>
      </w:r>
    </w:p>
    <w:p w:rsidR="006D5EB6" w:rsidRPr="00F50C55" w:rsidRDefault="006D5EB6" w:rsidP="006D5EB6">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b/>
          <w:bCs/>
          <w:sz w:val="24"/>
          <w:szCs w:val="24"/>
        </w:rPr>
        <w:t>Objetivo</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Asegurar que los </w:t>
      </w:r>
      <w:r w:rsidRPr="00F50C55">
        <w:rPr>
          <w:rFonts w:ascii="Times New Roman" w:hAnsi="Times New Roman" w:cs="Times New Roman"/>
          <w:iCs/>
          <w:sz w:val="24"/>
          <w:szCs w:val="24"/>
        </w:rPr>
        <w:t xml:space="preserve">primeros estados financieros conforme a las NIIF </w:t>
      </w:r>
      <w:r w:rsidRPr="00F50C55">
        <w:rPr>
          <w:rFonts w:ascii="Times New Roman" w:hAnsi="Times New Roman" w:cs="Times New Roman"/>
          <w:sz w:val="24"/>
          <w:szCs w:val="24"/>
        </w:rPr>
        <w:t>de una entidad, así como sus informes financieros intermedios, contienen información de alta calidad es decir transparente y comparable para todos los periodos en que se presenten.</w:t>
      </w:r>
    </w:p>
    <w:p w:rsidR="006D5EB6" w:rsidRPr="00F50C55" w:rsidRDefault="006D5EB6" w:rsidP="006D5EB6">
      <w:pPr>
        <w:autoSpaceDE w:val="0"/>
        <w:autoSpaceDN w:val="0"/>
        <w:adjustRightInd w:val="0"/>
        <w:spacing w:after="0" w:line="360" w:lineRule="auto"/>
        <w:jc w:val="both"/>
        <w:rPr>
          <w:rFonts w:ascii="Times New Roman" w:hAnsi="Times New Roman" w:cs="Times New Roman"/>
          <w:b/>
          <w:sz w:val="24"/>
          <w:szCs w:val="24"/>
        </w:rPr>
      </w:pPr>
      <w:r w:rsidRPr="00F50C55">
        <w:rPr>
          <w:rFonts w:ascii="Times New Roman" w:hAnsi="Times New Roman" w:cs="Times New Roman"/>
          <w:b/>
          <w:sz w:val="24"/>
          <w:szCs w:val="24"/>
        </w:rPr>
        <w:t>Aplicación</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Una entidad aplicará esta NIIF en:</w:t>
      </w:r>
    </w:p>
    <w:p w:rsidR="006D5EB6" w:rsidRPr="00F50C55" w:rsidRDefault="006D5EB6" w:rsidP="00FA4FAF">
      <w:pPr>
        <w:pStyle w:val="Prrafodelista"/>
        <w:numPr>
          <w:ilvl w:val="0"/>
          <w:numId w:val="2"/>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Sus primeros estados financieros conforme a las NIIF.</w:t>
      </w:r>
    </w:p>
    <w:p w:rsidR="006D5EB6" w:rsidRPr="00F50C55" w:rsidRDefault="006D5EB6" w:rsidP="00FA4FAF">
      <w:pPr>
        <w:pStyle w:val="Prrafodelista"/>
        <w:numPr>
          <w:ilvl w:val="0"/>
          <w:numId w:val="2"/>
        </w:numPr>
        <w:autoSpaceDE w:val="0"/>
        <w:autoSpaceDN w:val="0"/>
        <w:adjustRightInd w:val="0"/>
        <w:spacing w:after="0" w:line="360" w:lineRule="auto"/>
        <w:jc w:val="both"/>
        <w:rPr>
          <w:rFonts w:ascii="Times New Roman" w:hAnsi="Times New Roman" w:cs="Times New Roman"/>
          <w:iCs/>
          <w:sz w:val="24"/>
          <w:szCs w:val="24"/>
        </w:rPr>
      </w:pPr>
      <w:r w:rsidRPr="00F50C55">
        <w:rPr>
          <w:rFonts w:ascii="Times New Roman" w:hAnsi="Times New Roman" w:cs="Times New Roman"/>
          <w:sz w:val="24"/>
          <w:szCs w:val="24"/>
        </w:rPr>
        <w:t xml:space="preserve">En cada informe financiero intermedio que, en su caso, presente de acuerdo con la NIC 34 </w:t>
      </w:r>
      <w:r w:rsidRPr="00F50C55">
        <w:rPr>
          <w:rFonts w:ascii="Times New Roman" w:hAnsi="Times New Roman" w:cs="Times New Roman"/>
          <w:iCs/>
          <w:sz w:val="24"/>
          <w:szCs w:val="24"/>
        </w:rPr>
        <w:t>Información Financiera Intermedia</w:t>
      </w:r>
      <w:r w:rsidRPr="00F50C55">
        <w:rPr>
          <w:rFonts w:ascii="Times New Roman" w:hAnsi="Times New Roman" w:cs="Times New Roman"/>
          <w:sz w:val="24"/>
          <w:szCs w:val="24"/>
        </w:rPr>
        <w:t>, relativos a una parte del periodo cubierto por sus primeros estados financieros conforme a las NIIF.</w:t>
      </w:r>
    </w:p>
    <w:p w:rsidR="006D5EB6" w:rsidRPr="00F50C55" w:rsidRDefault="006D5EB6" w:rsidP="006D5EB6">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b/>
          <w:bCs/>
          <w:sz w:val="24"/>
          <w:szCs w:val="24"/>
        </w:rPr>
        <w:t>Ejemplo: Aplicación uniforme de la última versión de las NIIF</w:t>
      </w:r>
      <w:r>
        <w:rPr>
          <w:rFonts w:ascii="Times New Roman" w:hAnsi="Times New Roman" w:cs="Times New Roman"/>
          <w:b/>
          <w:bCs/>
          <w:sz w:val="24"/>
          <w:szCs w:val="24"/>
        </w:rPr>
        <w:t xml:space="preserve"> </w:t>
      </w:r>
      <w:r w:rsidRPr="00F50C55">
        <w:rPr>
          <w:rFonts w:ascii="Times New Roman" w:hAnsi="Times New Roman" w:cs="Times New Roman"/>
          <w:b/>
          <w:bCs/>
          <w:sz w:val="24"/>
          <w:szCs w:val="24"/>
        </w:rPr>
        <w:t>Antecedentes</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El final del primer periodo sobre el que se informa conforme a las NIIF de la entidad A es el 31 de diciembre de 20X5. La entidad A decide presentar información comparativa de tales estados financieros para un solo año (véase el párrafo 21). Por tanto, su fecha de transición a las NIIF es el comienzo de su actividad el 1 de enero de 20X4 (o, de forma alternativa, el cierre de su actividad el 31 de diciembre de 20X3). La entidad A presentó estados financieros anuales, conforme a sus PCGA anteriores, el 31 de diciembre de cada año, incluyendo el 31 de diciembre de 20X4.</w:t>
      </w:r>
    </w:p>
    <w:p w:rsidR="006D5EB6" w:rsidRPr="00F50C55" w:rsidRDefault="006D5EB6" w:rsidP="006D5EB6">
      <w:pPr>
        <w:autoSpaceDE w:val="0"/>
        <w:autoSpaceDN w:val="0"/>
        <w:adjustRightInd w:val="0"/>
        <w:spacing w:after="0" w:line="360" w:lineRule="auto"/>
        <w:jc w:val="center"/>
        <w:rPr>
          <w:rFonts w:ascii="Times New Roman" w:hAnsi="Times New Roman" w:cs="Times New Roman"/>
          <w:b/>
          <w:sz w:val="24"/>
          <w:szCs w:val="24"/>
        </w:rPr>
      </w:pPr>
      <w:r w:rsidRPr="00F50C55">
        <w:rPr>
          <w:rFonts w:ascii="Times New Roman" w:hAnsi="Times New Roman" w:cs="Times New Roman"/>
          <w:b/>
          <w:bCs/>
          <w:sz w:val="24"/>
          <w:szCs w:val="24"/>
        </w:rPr>
        <w:t xml:space="preserve">NIIF 2. </w:t>
      </w:r>
      <w:r w:rsidRPr="00F50C55">
        <w:rPr>
          <w:rFonts w:ascii="Times New Roman" w:hAnsi="Times New Roman" w:cs="Times New Roman"/>
          <w:b/>
          <w:sz w:val="24"/>
          <w:szCs w:val="24"/>
          <w:u w:val="single"/>
        </w:rPr>
        <w:t>Pagos Basados en Acciones</w:t>
      </w:r>
    </w:p>
    <w:p w:rsidR="006D5EB6" w:rsidRPr="00F50C55" w:rsidRDefault="006D5EB6" w:rsidP="006D5EB6">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b/>
          <w:bCs/>
          <w:sz w:val="24"/>
          <w:szCs w:val="24"/>
        </w:rPr>
        <w:t>Objetivo</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Especificar la información financiera que ha de incluir una entidad cuando lleve a cabo una </w:t>
      </w:r>
      <w:r w:rsidRPr="00F50C55">
        <w:rPr>
          <w:rFonts w:ascii="Times New Roman" w:hAnsi="Times New Roman" w:cs="Times New Roman"/>
          <w:iCs/>
          <w:sz w:val="24"/>
          <w:szCs w:val="24"/>
        </w:rPr>
        <w:t>transacción con pagos basados en acciones</w:t>
      </w:r>
      <w:r w:rsidRPr="00F50C55">
        <w:rPr>
          <w:rFonts w:ascii="Times New Roman" w:hAnsi="Times New Roman" w:cs="Times New Roman"/>
          <w:sz w:val="24"/>
          <w:szCs w:val="24"/>
        </w:rPr>
        <w:t>. Se requiere que la entidad refleje en el resultado del periodo y en su posición financiera, los efectos de las transacciones con pagos basados en acciones, incluyendo los gastos asociados a las transacciones en las que se conceden opciones sobre acciones a los empleados.</w:t>
      </w:r>
    </w:p>
    <w:p w:rsidR="006D5EB6" w:rsidRPr="00F50C55" w:rsidRDefault="006D5EB6" w:rsidP="006D5EB6">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b/>
          <w:bCs/>
          <w:sz w:val="24"/>
          <w:szCs w:val="24"/>
        </w:rPr>
        <w:t>Aplicación</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Una entidad aplicará esta NIIF:</w:t>
      </w:r>
    </w:p>
    <w:p w:rsidR="006D5EB6" w:rsidRPr="00F50C55" w:rsidRDefault="006D5EB6" w:rsidP="006D5EB6">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sz w:val="24"/>
          <w:szCs w:val="24"/>
        </w:rPr>
        <w:t>En la contabilización de todas las transacciones con pagos basados en acciones, pueda o no identificar específicamente algunos o todos los bienes o servicios recibidos, incluyendo:</w:t>
      </w:r>
    </w:p>
    <w:p w:rsidR="006D5EB6" w:rsidRPr="00F50C55" w:rsidRDefault="006D5EB6" w:rsidP="00FA4FAF">
      <w:pPr>
        <w:pStyle w:val="Prrafode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iCs/>
          <w:sz w:val="24"/>
          <w:szCs w:val="24"/>
          <w:lang w:val="es-EC"/>
        </w:rPr>
        <w:lastRenderedPageBreak/>
        <w:t>Tr</w:t>
      </w:r>
      <w:r w:rsidRPr="00F50C55">
        <w:rPr>
          <w:rFonts w:ascii="Times New Roman" w:hAnsi="Times New Roman" w:cs="Times New Roman"/>
          <w:iCs/>
          <w:sz w:val="24"/>
          <w:szCs w:val="24"/>
        </w:rPr>
        <w:t>ansacciones con pagos basados en acciones liquidadas mediante instrumentos de patrimonio</w:t>
      </w:r>
    </w:p>
    <w:p w:rsidR="006D5EB6" w:rsidRPr="00F50C55" w:rsidRDefault="006D5EB6" w:rsidP="00FA4FAF">
      <w:pPr>
        <w:pStyle w:val="Prrafode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iCs/>
          <w:sz w:val="24"/>
          <w:szCs w:val="24"/>
        </w:rPr>
        <w:t>Transacciones con pagos basados en acciones liquidadas en efectivo</w:t>
      </w:r>
      <w:r w:rsidRPr="00F50C55">
        <w:rPr>
          <w:rFonts w:ascii="Times New Roman" w:hAnsi="Times New Roman" w:cs="Times New Roman"/>
          <w:sz w:val="24"/>
          <w:szCs w:val="24"/>
        </w:rPr>
        <w:t>.</w:t>
      </w:r>
    </w:p>
    <w:p w:rsidR="006D5EB6" w:rsidRPr="00F50C55" w:rsidRDefault="006D5EB6" w:rsidP="00FA4FAF">
      <w:pPr>
        <w:pStyle w:val="Prrafode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Transacciones en las que la entidad reciba o adquiera bienes o servicios.</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p>
    <w:p w:rsidR="006D5EB6" w:rsidRPr="00F50C55" w:rsidRDefault="006D5EB6" w:rsidP="006D5EB6">
      <w:pPr>
        <w:autoSpaceDE w:val="0"/>
        <w:autoSpaceDN w:val="0"/>
        <w:adjustRightInd w:val="0"/>
        <w:spacing w:after="0" w:line="360" w:lineRule="auto"/>
        <w:jc w:val="center"/>
        <w:rPr>
          <w:rFonts w:ascii="Times New Roman" w:hAnsi="Times New Roman" w:cs="Times New Roman"/>
          <w:b/>
          <w:bCs/>
          <w:sz w:val="24"/>
          <w:szCs w:val="24"/>
        </w:rPr>
      </w:pPr>
      <w:r w:rsidRPr="00F50C55">
        <w:rPr>
          <w:rFonts w:ascii="Times New Roman" w:hAnsi="Times New Roman" w:cs="Times New Roman"/>
          <w:b/>
          <w:bCs/>
          <w:sz w:val="24"/>
          <w:szCs w:val="24"/>
        </w:rPr>
        <w:t xml:space="preserve">NIIF 3. </w:t>
      </w:r>
      <w:r w:rsidRPr="00F50C55">
        <w:rPr>
          <w:rFonts w:ascii="Times New Roman" w:hAnsi="Times New Roman" w:cs="Times New Roman"/>
          <w:b/>
          <w:bCs/>
          <w:sz w:val="24"/>
          <w:szCs w:val="24"/>
          <w:u w:val="single"/>
        </w:rPr>
        <w:t>Combinaciones de Negocios</w:t>
      </w:r>
    </w:p>
    <w:p w:rsidR="006D5EB6" w:rsidRPr="00F50C55" w:rsidRDefault="006D5EB6" w:rsidP="006D5EB6">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b/>
          <w:bCs/>
          <w:sz w:val="24"/>
          <w:szCs w:val="24"/>
        </w:rPr>
        <w:t>Objetivo</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Mejorar la relevancia, la fiabilidad y la comparabilidad de la información sobre </w:t>
      </w:r>
      <w:r w:rsidRPr="00F50C55">
        <w:rPr>
          <w:rFonts w:ascii="Times New Roman" w:hAnsi="Times New Roman" w:cs="Times New Roman"/>
          <w:iCs/>
          <w:sz w:val="24"/>
          <w:szCs w:val="24"/>
        </w:rPr>
        <w:t xml:space="preserve">combinaciones de negocios </w:t>
      </w:r>
      <w:r w:rsidRPr="00F50C55">
        <w:rPr>
          <w:rFonts w:ascii="Times New Roman" w:hAnsi="Times New Roman" w:cs="Times New Roman"/>
          <w:sz w:val="24"/>
          <w:szCs w:val="24"/>
        </w:rPr>
        <w:t xml:space="preserve">y sus efectos, que una entidad que informa proporciona a través de su estado financiero. </w:t>
      </w:r>
    </w:p>
    <w:p w:rsidR="006D5EB6" w:rsidRPr="00F50C55" w:rsidRDefault="006D5EB6" w:rsidP="006D5EB6">
      <w:pPr>
        <w:autoSpaceDE w:val="0"/>
        <w:autoSpaceDN w:val="0"/>
        <w:adjustRightInd w:val="0"/>
        <w:spacing w:after="0" w:line="360" w:lineRule="auto"/>
        <w:jc w:val="both"/>
        <w:rPr>
          <w:rFonts w:ascii="Times New Roman" w:hAnsi="Times New Roman" w:cs="Times New Roman"/>
          <w:iCs/>
          <w:sz w:val="24"/>
          <w:szCs w:val="24"/>
        </w:rPr>
      </w:pPr>
      <w:r w:rsidRPr="00F50C55">
        <w:rPr>
          <w:rFonts w:ascii="Times New Roman" w:hAnsi="Times New Roman" w:cs="Times New Roman"/>
          <w:sz w:val="24"/>
          <w:szCs w:val="24"/>
        </w:rPr>
        <w:t>Para lograrlo, esta NIIF establece</w:t>
      </w:r>
      <w:r>
        <w:rPr>
          <w:rFonts w:ascii="Times New Roman" w:hAnsi="Times New Roman" w:cs="Times New Roman"/>
          <w:sz w:val="24"/>
          <w:szCs w:val="24"/>
        </w:rPr>
        <w:t xml:space="preserve"> </w:t>
      </w:r>
      <w:r w:rsidRPr="00F50C55">
        <w:rPr>
          <w:rFonts w:ascii="Times New Roman" w:hAnsi="Times New Roman" w:cs="Times New Roman"/>
          <w:sz w:val="24"/>
          <w:szCs w:val="24"/>
        </w:rPr>
        <w:t xml:space="preserve">principios y requerimientos sobre la forma en que la </w:t>
      </w:r>
      <w:r w:rsidRPr="00F50C55">
        <w:rPr>
          <w:rFonts w:ascii="Times New Roman" w:hAnsi="Times New Roman" w:cs="Times New Roman"/>
          <w:iCs/>
          <w:sz w:val="24"/>
          <w:szCs w:val="24"/>
        </w:rPr>
        <w:t>entidad adquirente</w:t>
      </w:r>
      <w:r w:rsidRPr="00F50C55">
        <w:rPr>
          <w:rFonts w:ascii="Times New Roman" w:hAnsi="Times New Roman" w:cs="Times New Roman"/>
          <w:sz w:val="24"/>
          <w:szCs w:val="24"/>
        </w:rPr>
        <w:t>:</w:t>
      </w:r>
    </w:p>
    <w:p w:rsidR="006D5EB6" w:rsidRPr="00F50C55" w:rsidRDefault="006D5EB6" w:rsidP="00FA4FAF">
      <w:pPr>
        <w:pStyle w:val="Prrafodelista"/>
        <w:numPr>
          <w:ilvl w:val="0"/>
          <w:numId w:val="5"/>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lang w:val="es-EC"/>
        </w:rPr>
        <w:t xml:space="preserve">Reconocerá </w:t>
      </w:r>
      <w:r w:rsidRPr="00F50C55">
        <w:rPr>
          <w:rFonts w:ascii="Times New Roman" w:hAnsi="Times New Roman" w:cs="Times New Roman"/>
          <w:sz w:val="24"/>
          <w:szCs w:val="24"/>
        </w:rPr>
        <w:t xml:space="preserve">y medirá en sus estados financieros los activos </w:t>
      </w:r>
      <w:r w:rsidRPr="00F50C55">
        <w:rPr>
          <w:rFonts w:ascii="Times New Roman" w:hAnsi="Times New Roman" w:cs="Times New Roman"/>
          <w:iCs/>
          <w:sz w:val="24"/>
          <w:szCs w:val="24"/>
        </w:rPr>
        <w:t xml:space="preserve">identificables </w:t>
      </w:r>
      <w:r w:rsidRPr="00F50C55">
        <w:rPr>
          <w:rFonts w:ascii="Times New Roman" w:hAnsi="Times New Roman" w:cs="Times New Roman"/>
          <w:sz w:val="24"/>
          <w:szCs w:val="24"/>
        </w:rPr>
        <w:t xml:space="preserve">adquiridos, los pasivos asumidos y cualquier </w:t>
      </w:r>
      <w:r w:rsidRPr="00F50C55">
        <w:rPr>
          <w:rFonts w:ascii="Times New Roman" w:hAnsi="Times New Roman" w:cs="Times New Roman"/>
          <w:iCs/>
          <w:sz w:val="24"/>
          <w:szCs w:val="24"/>
        </w:rPr>
        <w:t xml:space="preserve">participación no controladora </w:t>
      </w:r>
      <w:r w:rsidRPr="00F50C55">
        <w:rPr>
          <w:rFonts w:ascii="Times New Roman" w:hAnsi="Times New Roman" w:cs="Times New Roman"/>
          <w:sz w:val="24"/>
          <w:szCs w:val="24"/>
        </w:rPr>
        <w:t xml:space="preserve">en la </w:t>
      </w:r>
      <w:r w:rsidRPr="00F50C55">
        <w:rPr>
          <w:rFonts w:ascii="Times New Roman" w:hAnsi="Times New Roman" w:cs="Times New Roman"/>
          <w:iCs/>
          <w:sz w:val="24"/>
          <w:szCs w:val="24"/>
        </w:rPr>
        <w:t>entidad adquirida</w:t>
      </w:r>
      <w:r w:rsidRPr="00F50C55">
        <w:rPr>
          <w:rFonts w:ascii="Times New Roman" w:hAnsi="Times New Roman" w:cs="Times New Roman"/>
          <w:sz w:val="24"/>
          <w:szCs w:val="24"/>
        </w:rPr>
        <w:t>.</w:t>
      </w:r>
    </w:p>
    <w:p w:rsidR="006D5EB6" w:rsidRPr="00F50C55" w:rsidRDefault="006D5EB6" w:rsidP="00FA4FAF">
      <w:pPr>
        <w:pStyle w:val="Prrafodelista"/>
        <w:numPr>
          <w:ilvl w:val="0"/>
          <w:numId w:val="4"/>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Reconocerá y medirá la </w:t>
      </w:r>
      <w:r w:rsidRPr="00F50C55">
        <w:rPr>
          <w:rFonts w:ascii="Times New Roman" w:hAnsi="Times New Roman" w:cs="Times New Roman"/>
          <w:iCs/>
          <w:sz w:val="24"/>
          <w:szCs w:val="24"/>
        </w:rPr>
        <w:t xml:space="preserve">plusvalía </w:t>
      </w:r>
      <w:r w:rsidRPr="00F50C55">
        <w:rPr>
          <w:rFonts w:ascii="Times New Roman" w:hAnsi="Times New Roman" w:cs="Times New Roman"/>
          <w:sz w:val="24"/>
          <w:szCs w:val="24"/>
        </w:rPr>
        <w:t>adquirida en la combinación de negocios o una ganancia procedente de una compra en condiciones muy ventajosas; y</w:t>
      </w:r>
    </w:p>
    <w:p w:rsidR="006D5EB6" w:rsidRPr="00F50C55" w:rsidRDefault="006D5EB6" w:rsidP="00FA4FAF">
      <w:pPr>
        <w:pStyle w:val="Prrafodelista"/>
        <w:numPr>
          <w:ilvl w:val="0"/>
          <w:numId w:val="4"/>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Determinará qué información revelará para permitir que los usuarios de los estados financieros evalúen la naturaleza y los efectos financieros de la combinación de negocios.</w:t>
      </w:r>
    </w:p>
    <w:p w:rsidR="006D5EB6" w:rsidRPr="00F50C55" w:rsidRDefault="006D5EB6" w:rsidP="006D5EB6">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b/>
          <w:bCs/>
          <w:sz w:val="24"/>
          <w:szCs w:val="24"/>
        </w:rPr>
        <w:t>Aplicación.</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Esta NIIF se aplicará a:</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Una transacción u otro suceso que cumpla la definición de una combinación de negocios. </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Esta NIIF no se aplicará a:</w:t>
      </w:r>
    </w:p>
    <w:p w:rsidR="006D5EB6" w:rsidRPr="00F50C55" w:rsidRDefault="006D5EB6" w:rsidP="00FA4FAF">
      <w:pPr>
        <w:pStyle w:val="Prrafodelista"/>
        <w:numPr>
          <w:ilvl w:val="0"/>
          <w:numId w:val="6"/>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La formación de un negocio conjunto.</w:t>
      </w:r>
    </w:p>
    <w:p w:rsidR="006D5EB6" w:rsidRPr="00F50C55" w:rsidRDefault="006D5EB6" w:rsidP="00FA4FAF">
      <w:pPr>
        <w:pStyle w:val="Prrafodelista"/>
        <w:numPr>
          <w:ilvl w:val="0"/>
          <w:numId w:val="6"/>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La adquisición de un activo o de un grupo de activos que no constituya un </w:t>
      </w:r>
      <w:r w:rsidRPr="00F50C55">
        <w:rPr>
          <w:rFonts w:ascii="Times New Roman" w:hAnsi="Times New Roman" w:cs="Times New Roman"/>
          <w:iCs/>
          <w:sz w:val="24"/>
          <w:szCs w:val="24"/>
        </w:rPr>
        <w:t>negocio.</w:t>
      </w:r>
    </w:p>
    <w:p w:rsidR="006D5EB6" w:rsidRPr="00F50C55" w:rsidRDefault="006D5EB6" w:rsidP="00FA4FAF">
      <w:pPr>
        <w:pStyle w:val="Prrafodelista"/>
        <w:numPr>
          <w:ilvl w:val="0"/>
          <w:numId w:val="6"/>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Una combinación de entidades o negocios bajo control común.</w:t>
      </w:r>
    </w:p>
    <w:p w:rsidR="006D5EB6" w:rsidRPr="00F50C55" w:rsidRDefault="006D5EB6" w:rsidP="006D5EB6">
      <w:pPr>
        <w:autoSpaceDE w:val="0"/>
        <w:autoSpaceDN w:val="0"/>
        <w:adjustRightInd w:val="0"/>
        <w:spacing w:after="0" w:line="360" w:lineRule="auto"/>
        <w:jc w:val="center"/>
        <w:rPr>
          <w:rFonts w:ascii="Times New Roman" w:hAnsi="Times New Roman" w:cs="Times New Roman"/>
          <w:sz w:val="24"/>
          <w:szCs w:val="24"/>
        </w:rPr>
      </w:pPr>
      <w:r w:rsidRPr="00F50C55">
        <w:rPr>
          <w:rFonts w:ascii="Times New Roman" w:hAnsi="Times New Roman" w:cs="Times New Roman"/>
          <w:b/>
          <w:bCs/>
          <w:sz w:val="24"/>
          <w:szCs w:val="24"/>
        </w:rPr>
        <w:t>NIIF 4</w:t>
      </w:r>
      <w:r w:rsidRPr="00F50C55">
        <w:rPr>
          <w:rFonts w:ascii="Times New Roman" w:hAnsi="Times New Roman" w:cs="Times New Roman"/>
          <w:sz w:val="24"/>
          <w:szCs w:val="24"/>
        </w:rPr>
        <w:t xml:space="preserve">. </w:t>
      </w:r>
      <w:r w:rsidRPr="00F50C55">
        <w:rPr>
          <w:rFonts w:ascii="Times New Roman" w:hAnsi="Times New Roman" w:cs="Times New Roman"/>
          <w:b/>
          <w:sz w:val="24"/>
          <w:szCs w:val="24"/>
          <w:u w:val="single"/>
        </w:rPr>
        <w:t>Contratos de Seguro</w:t>
      </w:r>
    </w:p>
    <w:p w:rsidR="006D5EB6" w:rsidRPr="00F50C55" w:rsidRDefault="006D5EB6" w:rsidP="006D5EB6">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b/>
          <w:bCs/>
          <w:sz w:val="24"/>
          <w:szCs w:val="24"/>
        </w:rPr>
        <w:t>Objetivo</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lastRenderedPageBreak/>
        <w:t xml:space="preserve">Especificar la información financiera que debe ofrecer, sobre los </w:t>
      </w:r>
      <w:r w:rsidRPr="00F50C55">
        <w:rPr>
          <w:rFonts w:ascii="Times New Roman" w:hAnsi="Times New Roman" w:cs="Times New Roman"/>
          <w:iCs/>
          <w:sz w:val="24"/>
          <w:szCs w:val="24"/>
        </w:rPr>
        <w:t>contratos de seguro</w:t>
      </w:r>
      <w:r w:rsidRPr="00F50C55">
        <w:rPr>
          <w:rFonts w:ascii="Times New Roman" w:hAnsi="Times New Roman" w:cs="Times New Roman"/>
          <w:sz w:val="24"/>
          <w:szCs w:val="24"/>
        </w:rPr>
        <w:t xml:space="preserve">, la entidad emisora de dichos contratos (que en esta NIIF se denomina </w:t>
      </w:r>
      <w:r w:rsidRPr="00F50C55">
        <w:rPr>
          <w:rFonts w:ascii="Times New Roman" w:hAnsi="Times New Roman" w:cs="Times New Roman"/>
          <w:iCs/>
          <w:sz w:val="24"/>
          <w:szCs w:val="24"/>
        </w:rPr>
        <w:t>aseguradora</w:t>
      </w:r>
      <w:r w:rsidRPr="00F50C55">
        <w:rPr>
          <w:rFonts w:ascii="Times New Roman" w:hAnsi="Times New Roman" w:cs="Times New Roman"/>
          <w:sz w:val="24"/>
          <w:szCs w:val="24"/>
        </w:rPr>
        <w:t xml:space="preserve">), hasta que el Consejo complete la segunda fase de su proyecto sobre contratos de seguro. </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En particular, esta NIIF requiere:</w:t>
      </w:r>
    </w:p>
    <w:p w:rsidR="006D5EB6" w:rsidRPr="00F50C55" w:rsidRDefault="006D5EB6" w:rsidP="00FA4FAF">
      <w:pPr>
        <w:pStyle w:val="Prrafodelista"/>
        <w:numPr>
          <w:ilvl w:val="0"/>
          <w:numId w:val="7"/>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Realizar un conjunto de mejoras limitadas en la contabilización de los contratos de seguro por parte de las aseguradoras.</w:t>
      </w:r>
    </w:p>
    <w:p w:rsidR="006D5EB6" w:rsidRPr="00F50C55" w:rsidRDefault="006D5EB6" w:rsidP="00FA4FAF">
      <w:pPr>
        <w:pStyle w:val="Prrafodelista"/>
        <w:numPr>
          <w:ilvl w:val="0"/>
          <w:numId w:val="7"/>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Revelar información que identifique y explique los importes de los contratos de seguro en los estados financieros de la aseguradora, y que ayude a los usuarios de dichos estados a comprender el importe, calendario e incertidumbre de los flujos de efectivo futuros procedentes de dichos contratos.</w:t>
      </w:r>
    </w:p>
    <w:p w:rsidR="006D5EB6" w:rsidRPr="00F50C55" w:rsidRDefault="006D5EB6" w:rsidP="006D5EB6">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b/>
          <w:bCs/>
          <w:sz w:val="24"/>
          <w:szCs w:val="24"/>
        </w:rPr>
        <w:t>Aplicación.</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Una entidad aplicará esta NIIF a los:</w:t>
      </w:r>
    </w:p>
    <w:p w:rsidR="006D5EB6" w:rsidRPr="00F50C55" w:rsidRDefault="006D5EB6" w:rsidP="00FA4FAF">
      <w:pPr>
        <w:pStyle w:val="Prrafodelista"/>
        <w:numPr>
          <w:ilvl w:val="0"/>
          <w:numId w:val="8"/>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Contratos de seguro (incluyendo también los </w:t>
      </w:r>
      <w:r w:rsidRPr="00F50C55">
        <w:rPr>
          <w:rFonts w:ascii="Times New Roman" w:hAnsi="Times New Roman" w:cs="Times New Roman"/>
          <w:iCs/>
          <w:sz w:val="24"/>
          <w:szCs w:val="24"/>
        </w:rPr>
        <w:t>contratos de reaseguro</w:t>
      </w:r>
      <w:r w:rsidRPr="00F50C55">
        <w:rPr>
          <w:rFonts w:ascii="Times New Roman" w:hAnsi="Times New Roman" w:cs="Times New Roman"/>
          <w:sz w:val="24"/>
          <w:szCs w:val="24"/>
        </w:rPr>
        <w:t>) que emita y a los contratos de reaseguro de los que sea</w:t>
      </w:r>
      <w:r>
        <w:rPr>
          <w:rFonts w:ascii="Times New Roman" w:hAnsi="Times New Roman" w:cs="Times New Roman"/>
          <w:sz w:val="24"/>
          <w:szCs w:val="24"/>
        </w:rPr>
        <w:t xml:space="preserve"> </w:t>
      </w:r>
      <w:r w:rsidRPr="00F50C55">
        <w:rPr>
          <w:rFonts w:ascii="Times New Roman" w:hAnsi="Times New Roman" w:cs="Times New Roman"/>
          <w:sz w:val="24"/>
          <w:szCs w:val="24"/>
        </w:rPr>
        <w:t>tenedora.</w:t>
      </w:r>
    </w:p>
    <w:p w:rsidR="006D5EB6" w:rsidRPr="00F50C55" w:rsidRDefault="006D5EB6" w:rsidP="00FA4FAF">
      <w:pPr>
        <w:pStyle w:val="Prrafodelista"/>
        <w:numPr>
          <w:ilvl w:val="0"/>
          <w:numId w:val="8"/>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Instrumentos financieros que emita con un </w:t>
      </w:r>
      <w:r w:rsidRPr="00F50C55">
        <w:rPr>
          <w:rFonts w:ascii="Times New Roman" w:hAnsi="Times New Roman" w:cs="Times New Roman"/>
          <w:iCs/>
          <w:sz w:val="24"/>
          <w:szCs w:val="24"/>
        </w:rPr>
        <w:t xml:space="preserve">componente de participación discrecional </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Una entidad no aplicará esta NIIF a:</w:t>
      </w:r>
    </w:p>
    <w:p w:rsidR="006D5EB6" w:rsidRPr="00F50C55" w:rsidRDefault="006D5EB6" w:rsidP="00FA4FAF">
      <w:pPr>
        <w:pStyle w:val="Prrafodelista"/>
        <w:numPr>
          <w:ilvl w:val="0"/>
          <w:numId w:val="9"/>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Las garantías de productos emitidas directamente por el fabricante, el mayorista o el minorista </w:t>
      </w:r>
    </w:p>
    <w:p w:rsidR="006D5EB6" w:rsidRPr="00F50C55" w:rsidRDefault="006D5EB6" w:rsidP="00FA4FAF">
      <w:pPr>
        <w:pStyle w:val="Prrafodelista"/>
        <w:numPr>
          <w:ilvl w:val="0"/>
          <w:numId w:val="9"/>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Los activos y los pasivos de los empleadores que se deriven de los planes de beneficios definidos ni a las obligaciones de beneficios por retiro reportadas</w:t>
      </w:r>
      <w:r>
        <w:rPr>
          <w:rFonts w:ascii="Times New Roman" w:hAnsi="Times New Roman" w:cs="Times New Roman"/>
          <w:sz w:val="24"/>
          <w:szCs w:val="24"/>
        </w:rPr>
        <w:t xml:space="preserve"> </w:t>
      </w:r>
      <w:r w:rsidRPr="00F50C55">
        <w:rPr>
          <w:rFonts w:ascii="Times New Roman" w:hAnsi="Times New Roman" w:cs="Times New Roman"/>
          <w:sz w:val="24"/>
          <w:szCs w:val="24"/>
        </w:rPr>
        <w:t>que proceden de los planes de beneficios definidos.</w:t>
      </w:r>
    </w:p>
    <w:p w:rsidR="006D5EB6" w:rsidRDefault="006D5EB6" w:rsidP="00FA4FAF">
      <w:pPr>
        <w:pStyle w:val="Prrafodelista"/>
        <w:numPr>
          <w:ilvl w:val="0"/>
          <w:numId w:val="9"/>
        </w:numPr>
        <w:autoSpaceDE w:val="0"/>
        <w:autoSpaceDN w:val="0"/>
        <w:adjustRightInd w:val="0"/>
        <w:spacing w:after="0" w:line="360" w:lineRule="auto"/>
        <w:jc w:val="both"/>
        <w:rPr>
          <w:rFonts w:ascii="Times New Roman" w:hAnsi="Times New Roman" w:cs="Times New Roman"/>
          <w:sz w:val="24"/>
          <w:szCs w:val="24"/>
        </w:rPr>
      </w:pPr>
      <w:r w:rsidRPr="00D137C1">
        <w:rPr>
          <w:rFonts w:ascii="Times New Roman" w:hAnsi="Times New Roman" w:cs="Times New Roman"/>
          <w:sz w:val="24"/>
          <w:szCs w:val="24"/>
        </w:rPr>
        <w:t>Los derechos contractuales y las obligaciones contractuales de tipo contingente, que dependan del uso futuro, o del derecho al</w:t>
      </w:r>
      <w:r>
        <w:rPr>
          <w:rFonts w:ascii="Times New Roman" w:hAnsi="Times New Roman" w:cs="Times New Roman"/>
          <w:sz w:val="24"/>
          <w:szCs w:val="24"/>
        </w:rPr>
        <w:t xml:space="preserve"> </w:t>
      </w:r>
      <w:r w:rsidRPr="00D137C1">
        <w:rPr>
          <w:rFonts w:ascii="Times New Roman" w:hAnsi="Times New Roman" w:cs="Times New Roman"/>
          <w:sz w:val="24"/>
          <w:szCs w:val="24"/>
        </w:rPr>
        <w:t>us</w:t>
      </w:r>
      <w:r>
        <w:rPr>
          <w:rFonts w:ascii="Times New Roman" w:hAnsi="Times New Roman" w:cs="Times New Roman"/>
          <w:sz w:val="24"/>
          <w:szCs w:val="24"/>
        </w:rPr>
        <w:t>o, de una partida no financiera.</w:t>
      </w:r>
    </w:p>
    <w:p w:rsidR="006D5EB6" w:rsidRDefault="006D5EB6" w:rsidP="00FA4FAF">
      <w:pPr>
        <w:pStyle w:val="Prrafodelista"/>
        <w:numPr>
          <w:ilvl w:val="0"/>
          <w:numId w:val="9"/>
        </w:numPr>
        <w:autoSpaceDE w:val="0"/>
        <w:autoSpaceDN w:val="0"/>
        <w:adjustRightInd w:val="0"/>
        <w:spacing w:after="0" w:line="360" w:lineRule="auto"/>
        <w:jc w:val="both"/>
        <w:rPr>
          <w:rFonts w:ascii="Times New Roman" w:hAnsi="Times New Roman" w:cs="Times New Roman"/>
          <w:sz w:val="24"/>
          <w:szCs w:val="24"/>
        </w:rPr>
      </w:pPr>
      <w:r w:rsidRPr="00D137C1">
        <w:rPr>
          <w:rFonts w:ascii="Times New Roman" w:hAnsi="Times New Roman" w:cs="Times New Roman"/>
          <w:sz w:val="24"/>
          <w:szCs w:val="24"/>
        </w:rPr>
        <w:t>Los contratos de garantía financiera, a menos que el emisor haya manifestado previa y explícitamente que considera a tales</w:t>
      </w:r>
      <w:r>
        <w:rPr>
          <w:rFonts w:ascii="Times New Roman" w:hAnsi="Times New Roman" w:cs="Times New Roman"/>
          <w:sz w:val="24"/>
          <w:szCs w:val="24"/>
        </w:rPr>
        <w:t xml:space="preserve"> </w:t>
      </w:r>
      <w:r w:rsidRPr="00D137C1">
        <w:rPr>
          <w:rFonts w:ascii="Times New Roman" w:hAnsi="Times New Roman" w:cs="Times New Roman"/>
          <w:sz w:val="24"/>
          <w:szCs w:val="24"/>
        </w:rPr>
        <w:t>contratos como de seguro y que ha utilizado la contabilidad aplicable a los contratos de seguro</w:t>
      </w:r>
    </w:p>
    <w:p w:rsidR="006D5EB6" w:rsidRPr="00D137C1" w:rsidRDefault="006D5EB6" w:rsidP="00FA4FAF">
      <w:pPr>
        <w:pStyle w:val="Prrafodelista"/>
        <w:numPr>
          <w:ilvl w:val="0"/>
          <w:numId w:val="9"/>
        </w:numPr>
        <w:autoSpaceDE w:val="0"/>
        <w:autoSpaceDN w:val="0"/>
        <w:adjustRightInd w:val="0"/>
        <w:spacing w:after="0" w:line="360" w:lineRule="auto"/>
        <w:jc w:val="both"/>
        <w:rPr>
          <w:rFonts w:ascii="Times New Roman" w:hAnsi="Times New Roman" w:cs="Times New Roman"/>
          <w:sz w:val="24"/>
          <w:szCs w:val="24"/>
        </w:rPr>
      </w:pPr>
      <w:r w:rsidRPr="00D137C1">
        <w:rPr>
          <w:rFonts w:ascii="Times New Roman" w:hAnsi="Times New Roman" w:cs="Times New Roman"/>
          <w:sz w:val="24"/>
          <w:szCs w:val="24"/>
        </w:rPr>
        <w:t>La contraprestación contingente, a pagar o cobrar en una combinación de negocios.</w:t>
      </w:r>
    </w:p>
    <w:p w:rsidR="006D5EB6" w:rsidRPr="00F50C55" w:rsidRDefault="006D5EB6" w:rsidP="00FA4FAF">
      <w:pPr>
        <w:pStyle w:val="Prrafodelista"/>
        <w:numPr>
          <w:ilvl w:val="0"/>
          <w:numId w:val="9"/>
        </w:numPr>
        <w:autoSpaceDE w:val="0"/>
        <w:autoSpaceDN w:val="0"/>
        <w:adjustRightInd w:val="0"/>
        <w:spacing w:after="0" w:line="360" w:lineRule="auto"/>
        <w:jc w:val="both"/>
        <w:rPr>
          <w:rFonts w:ascii="Times New Roman" w:hAnsi="Times New Roman" w:cs="Times New Roman"/>
          <w:iCs/>
          <w:sz w:val="24"/>
          <w:szCs w:val="24"/>
        </w:rPr>
      </w:pPr>
      <w:r w:rsidRPr="00F50C55">
        <w:rPr>
          <w:rFonts w:ascii="Times New Roman" w:hAnsi="Times New Roman" w:cs="Times New Roman"/>
          <w:sz w:val="24"/>
          <w:szCs w:val="24"/>
        </w:rPr>
        <w:t xml:space="preserve">Los </w:t>
      </w:r>
      <w:r w:rsidRPr="00F50C55">
        <w:rPr>
          <w:rFonts w:ascii="Times New Roman" w:hAnsi="Times New Roman" w:cs="Times New Roman"/>
          <w:iCs/>
          <w:sz w:val="24"/>
          <w:szCs w:val="24"/>
        </w:rPr>
        <w:t xml:space="preserve">contratos de seguro directo </w:t>
      </w:r>
      <w:r w:rsidRPr="00F50C55">
        <w:rPr>
          <w:rFonts w:ascii="Times New Roman" w:hAnsi="Times New Roman" w:cs="Times New Roman"/>
          <w:sz w:val="24"/>
          <w:szCs w:val="24"/>
        </w:rPr>
        <w:t xml:space="preserve">que la entidad tiene (los contratos de seguro directo donde la entidad es la </w:t>
      </w:r>
      <w:r w:rsidRPr="00F50C55">
        <w:rPr>
          <w:rFonts w:ascii="Times New Roman" w:hAnsi="Times New Roman" w:cs="Times New Roman"/>
          <w:iCs/>
          <w:sz w:val="24"/>
          <w:szCs w:val="24"/>
        </w:rPr>
        <w:t>tenedora del</w:t>
      </w:r>
      <w:r>
        <w:rPr>
          <w:rFonts w:ascii="Times New Roman" w:hAnsi="Times New Roman" w:cs="Times New Roman"/>
          <w:iCs/>
          <w:sz w:val="24"/>
          <w:szCs w:val="24"/>
        </w:rPr>
        <w:t xml:space="preserve"> </w:t>
      </w:r>
      <w:r w:rsidRPr="00F50C55">
        <w:rPr>
          <w:rFonts w:ascii="Times New Roman" w:hAnsi="Times New Roman" w:cs="Times New Roman"/>
          <w:iCs/>
          <w:sz w:val="24"/>
          <w:szCs w:val="24"/>
        </w:rPr>
        <w:t>seguro</w:t>
      </w:r>
      <w:r w:rsidRPr="00F50C55">
        <w:rPr>
          <w:rFonts w:ascii="Times New Roman" w:hAnsi="Times New Roman" w:cs="Times New Roman"/>
          <w:sz w:val="24"/>
          <w:szCs w:val="24"/>
        </w:rPr>
        <w:t xml:space="preserve">). No obstante, el </w:t>
      </w:r>
      <w:r w:rsidRPr="00F50C55">
        <w:rPr>
          <w:rFonts w:ascii="Times New Roman" w:hAnsi="Times New Roman" w:cs="Times New Roman"/>
          <w:iCs/>
          <w:sz w:val="24"/>
          <w:szCs w:val="24"/>
        </w:rPr>
        <w:t xml:space="preserve">cedente </w:t>
      </w:r>
      <w:r w:rsidRPr="00F50C55">
        <w:rPr>
          <w:rFonts w:ascii="Times New Roman" w:hAnsi="Times New Roman" w:cs="Times New Roman"/>
          <w:sz w:val="24"/>
          <w:szCs w:val="24"/>
        </w:rPr>
        <w:t>aplicará esta NIIF a los contratos de reaseguro de los que sea tenedor.</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lastRenderedPageBreak/>
        <w:t>Para facilitar las referencias, esta NIIF denomina aseguradora a toda entidad que emita un contrato de seguro, con independencia de</w:t>
      </w:r>
      <w:r>
        <w:rPr>
          <w:rFonts w:ascii="Times New Roman" w:hAnsi="Times New Roman" w:cs="Times New Roman"/>
          <w:sz w:val="24"/>
          <w:szCs w:val="24"/>
        </w:rPr>
        <w:t xml:space="preserve"> </w:t>
      </w:r>
      <w:r w:rsidRPr="00F50C55">
        <w:rPr>
          <w:rFonts w:ascii="Times New Roman" w:hAnsi="Times New Roman" w:cs="Times New Roman"/>
          <w:sz w:val="24"/>
          <w:szCs w:val="24"/>
        </w:rPr>
        <w:t>que dicha entidad se considere aseguradora a efectos legales o de supervisión.</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Un contrato de reaseguro es un tipo de contrato de seguro. De acuerdo con ello, todas las referencias que se hacen a los contratos de</w:t>
      </w:r>
      <w:r>
        <w:rPr>
          <w:rFonts w:ascii="Times New Roman" w:hAnsi="Times New Roman" w:cs="Times New Roman"/>
          <w:sz w:val="24"/>
          <w:szCs w:val="24"/>
        </w:rPr>
        <w:t xml:space="preserve"> </w:t>
      </w:r>
      <w:r w:rsidRPr="00F50C55">
        <w:rPr>
          <w:rFonts w:ascii="Times New Roman" w:hAnsi="Times New Roman" w:cs="Times New Roman"/>
          <w:sz w:val="24"/>
          <w:szCs w:val="24"/>
        </w:rPr>
        <w:t>seguro, en esta NIIF, son aplicables también a los contratos de reaseguro.</w:t>
      </w:r>
    </w:p>
    <w:p w:rsidR="006D5EB6" w:rsidRPr="00F50C55" w:rsidRDefault="006D5EB6" w:rsidP="006D5EB6">
      <w:pPr>
        <w:autoSpaceDE w:val="0"/>
        <w:autoSpaceDN w:val="0"/>
        <w:adjustRightInd w:val="0"/>
        <w:spacing w:after="0" w:line="360" w:lineRule="auto"/>
        <w:jc w:val="center"/>
        <w:rPr>
          <w:rFonts w:ascii="Times New Roman" w:hAnsi="Times New Roman" w:cs="Times New Roman"/>
          <w:sz w:val="24"/>
          <w:szCs w:val="24"/>
          <w:u w:val="single"/>
        </w:rPr>
      </w:pPr>
      <w:r w:rsidRPr="00F50C55">
        <w:rPr>
          <w:rFonts w:ascii="Times New Roman" w:hAnsi="Times New Roman" w:cs="Times New Roman"/>
          <w:b/>
          <w:bCs/>
          <w:sz w:val="24"/>
          <w:szCs w:val="24"/>
        </w:rPr>
        <w:t>NIIF 5.</w:t>
      </w:r>
      <w:r w:rsidRPr="00F50C55">
        <w:rPr>
          <w:rFonts w:ascii="Times New Roman" w:hAnsi="Times New Roman" w:cs="Times New Roman"/>
          <w:b/>
          <w:sz w:val="24"/>
          <w:szCs w:val="24"/>
          <w:u w:val="single"/>
        </w:rPr>
        <w:t>Activos no Corrientes Mantenidos para la Venta y Operaciones Discontinuadas</w:t>
      </w:r>
      <w:r w:rsidRPr="00F50C55">
        <w:rPr>
          <w:rFonts w:ascii="Times New Roman" w:hAnsi="Times New Roman" w:cs="Times New Roman"/>
          <w:sz w:val="24"/>
          <w:szCs w:val="24"/>
          <w:u w:val="single"/>
        </w:rPr>
        <w:t>.</w:t>
      </w:r>
    </w:p>
    <w:p w:rsidR="006D5EB6" w:rsidRPr="00F50C55" w:rsidRDefault="006D5EB6" w:rsidP="006D5EB6">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b/>
          <w:bCs/>
          <w:sz w:val="24"/>
          <w:szCs w:val="24"/>
        </w:rPr>
        <w:t>Objetivo</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Especificar el tratamiento contable de los activos mantenidos para la venta, así como la presentación e</w:t>
      </w:r>
      <w:r>
        <w:rPr>
          <w:rFonts w:ascii="Times New Roman" w:hAnsi="Times New Roman" w:cs="Times New Roman"/>
          <w:sz w:val="24"/>
          <w:szCs w:val="24"/>
        </w:rPr>
        <w:t xml:space="preserve"> </w:t>
      </w:r>
      <w:r w:rsidRPr="00F50C55">
        <w:rPr>
          <w:rFonts w:ascii="Times New Roman" w:hAnsi="Times New Roman" w:cs="Times New Roman"/>
          <w:sz w:val="24"/>
          <w:szCs w:val="24"/>
        </w:rPr>
        <w:t xml:space="preserve">información a revelar sobre las </w:t>
      </w:r>
      <w:r w:rsidRPr="00F50C55">
        <w:rPr>
          <w:rFonts w:ascii="Times New Roman" w:hAnsi="Times New Roman" w:cs="Times New Roman"/>
          <w:iCs/>
          <w:sz w:val="24"/>
          <w:szCs w:val="24"/>
        </w:rPr>
        <w:t>operaciones discontinuadas</w:t>
      </w:r>
      <w:r w:rsidRPr="00F50C55">
        <w:rPr>
          <w:rFonts w:ascii="Times New Roman" w:hAnsi="Times New Roman" w:cs="Times New Roman"/>
          <w:sz w:val="24"/>
          <w:szCs w:val="24"/>
        </w:rPr>
        <w:t xml:space="preserve">. </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En particular, la NIIF requiere que:</w:t>
      </w:r>
    </w:p>
    <w:p w:rsidR="006D5EB6" w:rsidRPr="00F50C55" w:rsidRDefault="006D5EB6" w:rsidP="00FA4FAF">
      <w:pPr>
        <w:pStyle w:val="Prrafodelista"/>
        <w:numPr>
          <w:ilvl w:val="0"/>
          <w:numId w:val="10"/>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los activos que cumplan los criterios para ser clasificados como mantenidos para la venta, sean valorados al menor valor entre</w:t>
      </w:r>
      <w:r>
        <w:rPr>
          <w:rFonts w:ascii="Times New Roman" w:hAnsi="Times New Roman" w:cs="Times New Roman"/>
          <w:sz w:val="24"/>
          <w:szCs w:val="24"/>
        </w:rPr>
        <w:t xml:space="preserve"> </w:t>
      </w:r>
      <w:r w:rsidRPr="00F50C55">
        <w:rPr>
          <w:rFonts w:ascii="Times New Roman" w:hAnsi="Times New Roman" w:cs="Times New Roman"/>
          <w:sz w:val="24"/>
          <w:szCs w:val="24"/>
        </w:rPr>
        <w:t xml:space="preserve">su importe en libros y su valor razonable menos los costos de venta, así como que cese la depreciación de dichos activos. </w:t>
      </w:r>
    </w:p>
    <w:p w:rsidR="006D5EB6" w:rsidRPr="00F50C55" w:rsidRDefault="006D5EB6" w:rsidP="00FA4FAF">
      <w:pPr>
        <w:pStyle w:val="Prrafodelista"/>
        <w:numPr>
          <w:ilvl w:val="0"/>
          <w:numId w:val="10"/>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los activos que cumplan los criterios para ser clasificados como mantenidos para la venta, se presenten de forma separada en</w:t>
      </w:r>
      <w:r>
        <w:rPr>
          <w:rFonts w:ascii="Times New Roman" w:hAnsi="Times New Roman" w:cs="Times New Roman"/>
          <w:sz w:val="24"/>
          <w:szCs w:val="24"/>
        </w:rPr>
        <w:t xml:space="preserve"> </w:t>
      </w:r>
      <w:r w:rsidRPr="00F50C55">
        <w:rPr>
          <w:rFonts w:ascii="Times New Roman" w:hAnsi="Times New Roman" w:cs="Times New Roman"/>
          <w:sz w:val="24"/>
          <w:szCs w:val="24"/>
        </w:rPr>
        <w:t>el estado de situación financiera, y que los resultados de las operaciones discontinuadas se presenten por separado en el</w:t>
      </w:r>
      <w:r>
        <w:rPr>
          <w:rFonts w:ascii="Times New Roman" w:hAnsi="Times New Roman" w:cs="Times New Roman"/>
          <w:sz w:val="24"/>
          <w:szCs w:val="24"/>
        </w:rPr>
        <w:t xml:space="preserve"> </w:t>
      </w:r>
      <w:r w:rsidRPr="00F50C55">
        <w:rPr>
          <w:rFonts w:ascii="Times New Roman" w:hAnsi="Times New Roman" w:cs="Times New Roman"/>
          <w:sz w:val="24"/>
          <w:szCs w:val="24"/>
        </w:rPr>
        <w:t>estado del resultado integral.</w:t>
      </w:r>
    </w:p>
    <w:p w:rsidR="006D5EB6" w:rsidRPr="00F50C55" w:rsidRDefault="006D5EB6" w:rsidP="006D5EB6">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b/>
          <w:bCs/>
          <w:sz w:val="24"/>
          <w:szCs w:val="24"/>
        </w:rPr>
        <w:t>Aplicación.</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Los requerimientos de clasificación y presentación de esta NIIF se aplicarán a:</w:t>
      </w:r>
    </w:p>
    <w:p w:rsidR="006D5EB6" w:rsidRPr="00F50C55" w:rsidRDefault="006D5EB6" w:rsidP="00FA4FAF">
      <w:pPr>
        <w:pStyle w:val="Prrafodelista"/>
        <w:numPr>
          <w:ilvl w:val="0"/>
          <w:numId w:val="11"/>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todos los </w:t>
      </w:r>
      <w:r w:rsidRPr="00F50C55">
        <w:rPr>
          <w:rFonts w:ascii="Times New Roman" w:hAnsi="Times New Roman" w:cs="Times New Roman"/>
          <w:iCs/>
          <w:sz w:val="24"/>
          <w:szCs w:val="24"/>
        </w:rPr>
        <w:t>activos no corrientes</w:t>
      </w:r>
      <w:r w:rsidRPr="00F50C55">
        <w:rPr>
          <w:rFonts w:ascii="Times New Roman" w:hAnsi="Times New Roman" w:cs="Times New Roman"/>
          <w:sz w:val="24"/>
          <w:szCs w:val="24"/>
        </w:rPr>
        <w:t>* reconocidos.</w:t>
      </w:r>
    </w:p>
    <w:p w:rsidR="006D5EB6" w:rsidRPr="00F50C55" w:rsidRDefault="006D5EB6" w:rsidP="00FA4FAF">
      <w:pPr>
        <w:pStyle w:val="Prrafodelista"/>
        <w:numPr>
          <w:ilvl w:val="0"/>
          <w:numId w:val="11"/>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todos los </w:t>
      </w:r>
      <w:r w:rsidRPr="00F50C55">
        <w:rPr>
          <w:rFonts w:ascii="Times New Roman" w:hAnsi="Times New Roman" w:cs="Times New Roman"/>
          <w:iCs/>
          <w:sz w:val="24"/>
          <w:szCs w:val="24"/>
        </w:rPr>
        <w:t xml:space="preserve">grupos de activos para su disposición </w:t>
      </w:r>
      <w:r w:rsidRPr="00F50C55">
        <w:rPr>
          <w:rFonts w:ascii="Times New Roman" w:hAnsi="Times New Roman" w:cs="Times New Roman"/>
          <w:sz w:val="24"/>
          <w:szCs w:val="24"/>
        </w:rPr>
        <w:t xml:space="preserve">que tiene la entidad. </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Los activos de una clase que una entidad consideraría normalmente como no corriente que se adquieran exclusivamente con</w:t>
      </w:r>
      <w:r>
        <w:rPr>
          <w:rFonts w:ascii="Times New Roman" w:hAnsi="Times New Roman" w:cs="Times New Roman"/>
          <w:sz w:val="24"/>
          <w:szCs w:val="24"/>
        </w:rPr>
        <w:t xml:space="preserve"> </w:t>
      </w:r>
      <w:r w:rsidRPr="00F50C55">
        <w:rPr>
          <w:rFonts w:ascii="Times New Roman" w:hAnsi="Times New Roman" w:cs="Times New Roman"/>
          <w:sz w:val="24"/>
          <w:szCs w:val="24"/>
        </w:rPr>
        <w:t>intención de reventa no se reclasificarán como corrientes a menos que cumplan los criterios para ser clasificados como mantenidos</w:t>
      </w:r>
      <w:r>
        <w:rPr>
          <w:rFonts w:ascii="Times New Roman" w:hAnsi="Times New Roman" w:cs="Times New Roman"/>
          <w:sz w:val="24"/>
          <w:szCs w:val="24"/>
        </w:rPr>
        <w:t xml:space="preserve"> </w:t>
      </w:r>
      <w:r w:rsidRPr="00F50C55">
        <w:rPr>
          <w:rFonts w:ascii="Times New Roman" w:hAnsi="Times New Roman" w:cs="Times New Roman"/>
          <w:sz w:val="24"/>
          <w:szCs w:val="24"/>
        </w:rPr>
        <w:t>para la venta de acuerdo con esta NIIF.</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En ocasiones, una entidad dispone de un grupo de activos, posiblemente con algunos pasivos directamente asociados, de forma</w:t>
      </w:r>
      <w:r>
        <w:rPr>
          <w:rFonts w:ascii="Times New Roman" w:hAnsi="Times New Roman" w:cs="Times New Roman"/>
          <w:sz w:val="24"/>
          <w:szCs w:val="24"/>
        </w:rPr>
        <w:t xml:space="preserve"> </w:t>
      </w:r>
      <w:r w:rsidRPr="00F50C55">
        <w:rPr>
          <w:rFonts w:ascii="Times New Roman" w:hAnsi="Times New Roman" w:cs="Times New Roman"/>
          <w:sz w:val="24"/>
          <w:szCs w:val="24"/>
        </w:rPr>
        <w:t xml:space="preserve">conjunta y en una sola transacción. Un grupo de activos para su disposición puede ser un grupo de </w:t>
      </w:r>
      <w:r w:rsidRPr="00F50C55">
        <w:rPr>
          <w:rFonts w:ascii="Times New Roman" w:hAnsi="Times New Roman" w:cs="Times New Roman"/>
          <w:iCs/>
          <w:sz w:val="24"/>
          <w:szCs w:val="24"/>
        </w:rPr>
        <w:t>unidades generadoras de</w:t>
      </w:r>
      <w:r>
        <w:rPr>
          <w:rFonts w:ascii="Times New Roman" w:hAnsi="Times New Roman" w:cs="Times New Roman"/>
          <w:iCs/>
          <w:sz w:val="24"/>
          <w:szCs w:val="24"/>
        </w:rPr>
        <w:t xml:space="preserve"> </w:t>
      </w:r>
      <w:r w:rsidRPr="00F50C55">
        <w:rPr>
          <w:rFonts w:ascii="Times New Roman" w:hAnsi="Times New Roman" w:cs="Times New Roman"/>
          <w:iCs/>
          <w:sz w:val="24"/>
          <w:szCs w:val="24"/>
        </w:rPr>
        <w:t>efectivo</w:t>
      </w:r>
      <w:r w:rsidRPr="00F50C55">
        <w:rPr>
          <w:rFonts w:ascii="Times New Roman" w:hAnsi="Times New Roman" w:cs="Times New Roman"/>
          <w:sz w:val="24"/>
          <w:szCs w:val="24"/>
        </w:rPr>
        <w:t xml:space="preserve">, una única unidad generadora de efectivo, o parte de una unidad generadora de efectivo. </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lastRenderedPageBreak/>
        <w:t>Los criterios de medición de esta NIIF‡ no son aplicables a los siguientes activos, que quedan cubiertos por las Normas indicadas</w:t>
      </w:r>
      <w:r>
        <w:rPr>
          <w:rFonts w:ascii="Times New Roman" w:hAnsi="Times New Roman" w:cs="Times New Roman"/>
          <w:sz w:val="24"/>
          <w:szCs w:val="24"/>
        </w:rPr>
        <w:t xml:space="preserve"> </w:t>
      </w:r>
      <w:r w:rsidRPr="00F50C55">
        <w:rPr>
          <w:rFonts w:ascii="Times New Roman" w:hAnsi="Times New Roman" w:cs="Times New Roman"/>
          <w:sz w:val="24"/>
          <w:szCs w:val="24"/>
        </w:rPr>
        <w:t>en cada caso, independientemente de que sean activos individuales o que formen parte de un grupo de activos para su disposición.</w:t>
      </w:r>
    </w:p>
    <w:p w:rsidR="006D5EB6" w:rsidRPr="00F50C55" w:rsidRDefault="006D5EB6" w:rsidP="00FA4FAF">
      <w:pPr>
        <w:pStyle w:val="Prrafodelista"/>
        <w:numPr>
          <w:ilvl w:val="0"/>
          <w:numId w:val="12"/>
        </w:numPr>
        <w:autoSpaceDE w:val="0"/>
        <w:autoSpaceDN w:val="0"/>
        <w:adjustRightInd w:val="0"/>
        <w:spacing w:after="0" w:line="360" w:lineRule="auto"/>
        <w:jc w:val="both"/>
        <w:rPr>
          <w:rFonts w:ascii="Times New Roman" w:hAnsi="Times New Roman" w:cs="Times New Roman"/>
          <w:iCs/>
          <w:sz w:val="24"/>
          <w:szCs w:val="24"/>
        </w:rPr>
      </w:pPr>
      <w:r w:rsidRPr="00F50C55">
        <w:rPr>
          <w:rFonts w:ascii="Times New Roman" w:hAnsi="Times New Roman" w:cs="Times New Roman"/>
          <w:sz w:val="24"/>
          <w:szCs w:val="24"/>
        </w:rPr>
        <w:t xml:space="preserve">Activos por impuestos diferidos (NIC 12 </w:t>
      </w:r>
      <w:r w:rsidRPr="00F50C55">
        <w:rPr>
          <w:rFonts w:ascii="Times New Roman" w:hAnsi="Times New Roman" w:cs="Times New Roman"/>
          <w:iCs/>
          <w:sz w:val="24"/>
          <w:szCs w:val="24"/>
        </w:rPr>
        <w:t>Impuesto a las Ganancias</w:t>
      </w:r>
      <w:r w:rsidRPr="00F50C55">
        <w:rPr>
          <w:rFonts w:ascii="Times New Roman" w:hAnsi="Times New Roman" w:cs="Times New Roman"/>
          <w:sz w:val="24"/>
          <w:szCs w:val="24"/>
        </w:rPr>
        <w:t>)</w:t>
      </w:r>
      <w:r w:rsidRPr="00F50C55">
        <w:rPr>
          <w:rFonts w:ascii="Times New Roman" w:hAnsi="Times New Roman" w:cs="Times New Roman"/>
          <w:iCs/>
          <w:sz w:val="24"/>
          <w:szCs w:val="24"/>
        </w:rPr>
        <w:t>.</w:t>
      </w:r>
    </w:p>
    <w:p w:rsidR="006D5EB6" w:rsidRPr="00F50C55" w:rsidRDefault="006D5EB6" w:rsidP="00FA4FAF">
      <w:pPr>
        <w:pStyle w:val="Prrafodelista"/>
        <w:numPr>
          <w:ilvl w:val="0"/>
          <w:numId w:val="12"/>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Activos procedentes de beneficios a los empleados (NIC 19 </w:t>
      </w:r>
      <w:r w:rsidRPr="00F50C55">
        <w:rPr>
          <w:rFonts w:ascii="Times New Roman" w:hAnsi="Times New Roman" w:cs="Times New Roman"/>
          <w:iCs/>
          <w:sz w:val="24"/>
          <w:szCs w:val="24"/>
        </w:rPr>
        <w:t>Beneficios a los Empleados</w:t>
      </w:r>
      <w:r w:rsidRPr="00F50C55">
        <w:rPr>
          <w:rFonts w:ascii="Times New Roman" w:hAnsi="Times New Roman" w:cs="Times New Roman"/>
          <w:sz w:val="24"/>
          <w:szCs w:val="24"/>
        </w:rPr>
        <w:t>).</w:t>
      </w:r>
    </w:p>
    <w:p w:rsidR="006D5EB6" w:rsidRPr="00F50C55" w:rsidRDefault="006D5EB6" w:rsidP="00FA4FAF">
      <w:pPr>
        <w:pStyle w:val="Prrafodelista"/>
        <w:numPr>
          <w:ilvl w:val="0"/>
          <w:numId w:val="12"/>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Los activos financieros dentro del alcance de la NIIF 9 </w:t>
      </w:r>
      <w:r w:rsidRPr="00F50C55">
        <w:rPr>
          <w:rFonts w:ascii="Times New Roman" w:hAnsi="Times New Roman" w:cs="Times New Roman"/>
          <w:iCs/>
          <w:sz w:val="24"/>
          <w:szCs w:val="24"/>
        </w:rPr>
        <w:t>Instrumentos Financieros</w:t>
      </w:r>
      <w:r w:rsidRPr="00F50C55">
        <w:rPr>
          <w:rFonts w:ascii="Times New Roman" w:hAnsi="Times New Roman" w:cs="Times New Roman"/>
          <w:sz w:val="24"/>
          <w:szCs w:val="24"/>
        </w:rPr>
        <w:t>.</w:t>
      </w:r>
    </w:p>
    <w:p w:rsidR="006D5EB6" w:rsidRPr="00F50C55" w:rsidRDefault="006D5EB6" w:rsidP="00FA4FAF">
      <w:pPr>
        <w:pStyle w:val="Prrafodelista"/>
        <w:numPr>
          <w:ilvl w:val="0"/>
          <w:numId w:val="12"/>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Activos no corrientes contabilizados de acuerdo con el modelo de valor razonable de la NIC</w:t>
      </w:r>
      <w:r>
        <w:rPr>
          <w:rFonts w:ascii="Times New Roman" w:hAnsi="Times New Roman" w:cs="Times New Roman"/>
          <w:sz w:val="24"/>
          <w:szCs w:val="24"/>
        </w:rPr>
        <w:t xml:space="preserve"> </w:t>
      </w:r>
      <w:r w:rsidRPr="00F50C55">
        <w:rPr>
          <w:rFonts w:ascii="Times New Roman" w:hAnsi="Times New Roman" w:cs="Times New Roman"/>
          <w:iCs/>
          <w:sz w:val="24"/>
          <w:szCs w:val="24"/>
        </w:rPr>
        <w:t>Propiedades de Inversión</w:t>
      </w:r>
      <w:r w:rsidRPr="00F50C55">
        <w:rPr>
          <w:rFonts w:ascii="Times New Roman" w:hAnsi="Times New Roman" w:cs="Times New Roman"/>
          <w:sz w:val="24"/>
          <w:szCs w:val="24"/>
        </w:rPr>
        <w:t>.</w:t>
      </w:r>
    </w:p>
    <w:p w:rsidR="006D5EB6" w:rsidRPr="00F50C55" w:rsidRDefault="006D5EB6" w:rsidP="00FA4FAF">
      <w:pPr>
        <w:pStyle w:val="Prrafodelista"/>
        <w:numPr>
          <w:ilvl w:val="0"/>
          <w:numId w:val="12"/>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Activos no corrientes medidos por su valor razonable menos los costos de venta, de acuerdo con la NIC 41 </w:t>
      </w:r>
      <w:r w:rsidRPr="00F50C55">
        <w:rPr>
          <w:rFonts w:ascii="Times New Roman" w:hAnsi="Times New Roman" w:cs="Times New Roman"/>
          <w:iCs/>
          <w:sz w:val="24"/>
          <w:szCs w:val="24"/>
        </w:rPr>
        <w:t>Agricultura</w:t>
      </w:r>
      <w:r w:rsidRPr="00F50C55">
        <w:rPr>
          <w:rFonts w:ascii="Times New Roman" w:hAnsi="Times New Roman" w:cs="Times New Roman"/>
          <w:sz w:val="24"/>
          <w:szCs w:val="24"/>
        </w:rPr>
        <w:t>.</w:t>
      </w:r>
    </w:p>
    <w:p w:rsidR="006D5EB6" w:rsidRPr="00F50C55" w:rsidRDefault="006D5EB6" w:rsidP="00FA4FAF">
      <w:pPr>
        <w:pStyle w:val="Prrafodelista"/>
        <w:numPr>
          <w:ilvl w:val="0"/>
          <w:numId w:val="12"/>
        </w:numPr>
        <w:autoSpaceDE w:val="0"/>
        <w:autoSpaceDN w:val="0"/>
        <w:adjustRightInd w:val="0"/>
        <w:spacing w:after="0" w:line="360" w:lineRule="auto"/>
        <w:jc w:val="both"/>
        <w:rPr>
          <w:rFonts w:ascii="Times New Roman" w:hAnsi="Times New Roman" w:cs="Times New Roman"/>
          <w:iCs/>
          <w:sz w:val="24"/>
          <w:szCs w:val="24"/>
        </w:rPr>
      </w:pPr>
      <w:r w:rsidRPr="00F50C55">
        <w:rPr>
          <w:rFonts w:ascii="Times New Roman" w:hAnsi="Times New Roman" w:cs="Times New Roman"/>
          <w:sz w:val="24"/>
          <w:szCs w:val="24"/>
        </w:rPr>
        <w:t xml:space="preserve">Derechos contractuales procedentes de contratos de seguro, definidos en la NIIF 4 </w:t>
      </w:r>
      <w:r w:rsidRPr="00F50C55">
        <w:rPr>
          <w:rFonts w:ascii="Times New Roman" w:hAnsi="Times New Roman" w:cs="Times New Roman"/>
          <w:iCs/>
          <w:sz w:val="24"/>
          <w:szCs w:val="24"/>
        </w:rPr>
        <w:t>Contratos de Seguro.</w:t>
      </w:r>
    </w:p>
    <w:p w:rsidR="006D5EB6" w:rsidRPr="00F50C55" w:rsidRDefault="006D5EB6" w:rsidP="006D5EB6">
      <w:pPr>
        <w:autoSpaceDE w:val="0"/>
        <w:autoSpaceDN w:val="0"/>
        <w:adjustRightInd w:val="0"/>
        <w:spacing w:after="0" w:line="360" w:lineRule="auto"/>
        <w:jc w:val="center"/>
        <w:rPr>
          <w:rFonts w:ascii="Times New Roman" w:hAnsi="Times New Roman" w:cs="Times New Roman"/>
          <w:b/>
          <w:sz w:val="24"/>
          <w:szCs w:val="24"/>
        </w:rPr>
      </w:pPr>
      <w:r w:rsidRPr="00F50C55">
        <w:rPr>
          <w:rFonts w:ascii="Times New Roman" w:hAnsi="Times New Roman" w:cs="Times New Roman"/>
          <w:b/>
          <w:bCs/>
          <w:sz w:val="24"/>
          <w:szCs w:val="24"/>
        </w:rPr>
        <w:t xml:space="preserve">NIIF 6. </w:t>
      </w:r>
      <w:r w:rsidRPr="00F50C55">
        <w:rPr>
          <w:rFonts w:ascii="Times New Roman" w:hAnsi="Times New Roman" w:cs="Times New Roman"/>
          <w:b/>
          <w:sz w:val="24"/>
          <w:szCs w:val="24"/>
          <w:u w:val="single"/>
        </w:rPr>
        <w:t>Exploración y Evaluación de Recursos Minerales.</w:t>
      </w:r>
    </w:p>
    <w:p w:rsidR="006D5EB6" w:rsidRPr="00F50C55" w:rsidRDefault="006D5EB6" w:rsidP="006D5EB6">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b/>
          <w:bCs/>
          <w:sz w:val="24"/>
          <w:szCs w:val="24"/>
        </w:rPr>
        <w:t>Objetivo</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Especificar la información financiera relativa a la </w:t>
      </w:r>
      <w:r w:rsidRPr="00F50C55">
        <w:rPr>
          <w:rFonts w:ascii="Times New Roman" w:hAnsi="Times New Roman" w:cs="Times New Roman"/>
          <w:iCs/>
          <w:sz w:val="24"/>
          <w:szCs w:val="24"/>
        </w:rPr>
        <w:t>exploración y evaluación de recursos minerales</w:t>
      </w:r>
      <w:r w:rsidRPr="00F50C55">
        <w:rPr>
          <w:rFonts w:ascii="Times New Roman" w:hAnsi="Times New Roman" w:cs="Times New Roman"/>
          <w:sz w:val="24"/>
          <w:szCs w:val="24"/>
        </w:rPr>
        <w:t>.</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En particular, la NIIF requiere que:</w:t>
      </w:r>
    </w:p>
    <w:p w:rsidR="006D5EB6" w:rsidRPr="00F50C55" w:rsidRDefault="006D5EB6" w:rsidP="00FA4FAF">
      <w:pPr>
        <w:pStyle w:val="Prrafodelista"/>
        <w:numPr>
          <w:ilvl w:val="0"/>
          <w:numId w:val="13"/>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mejoras limitadas en las prácticas contables existentes para los </w:t>
      </w:r>
      <w:r w:rsidRPr="00F50C55">
        <w:rPr>
          <w:rFonts w:ascii="Times New Roman" w:hAnsi="Times New Roman" w:cs="Times New Roman"/>
          <w:iCs/>
          <w:sz w:val="24"/>
          <w:szCs w:val="24"/>
        </w:rPr>
        <w:t>desembolsos por exploración y evaluación</w:t>
      </w:r>
      <w:r w:rsidRPr="00F50C55">
        <w:rPr>
          <w:rFonts w:ascii="Times New Roman" w:hAnsi="Times New Roman" w:cs="Times New Roman"/>
          <w:sz w:val="24"/>
          <w:szCs w:val="24"/>
        </w:rPr>
        <w:t>;</w:t>
      </w:r>
    </w:p>
    <w:p w:rsidR="006D5EB6" w:rsidRPr="00F50C55" w:rsidRDefault="006D5EB6" w:rsidP="00FA4FAF">
      <w:pPr>
        <w:pStyle w:val="Prrafodelista"/>
        <w:numPr>
          <w:ilvl w:val="0"/>
          <w:numId w:val="13"/>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que las entidades que reconozcan </w:t>
      </w:r>
      <w:r w:rsidRPr="00F50C55">
        <w:rPr>
          <w:rFonts w:ascii="Times New Roman" w:hAnsi="Times New Roman" w:cs="Times New Roman"/>
          <w:iCs/>
          <w:sz w:val="24"/>
          <w:szCs w:val="24"/>
        </w:rPr>
        <w:t xml:space="preserve">activos para exploración y evaluación </w:t>
      </w:r>
      <w:r w:rsidRPr="00F50C55">
        <w:rPr>
          <w:rFonts w:ascii="Times New Roman" w:hAnsi="Times New Roman" w:cs="Times New Roman"/>
          <w:sz w:val="24"/>
          <w:szCs w:val="24"/>
        </w:rPr>
        <w:t>realicen una comprobación de su deterioro del valor de acuerdo con esta NIIF.</w:t>
      </w:r>
    </w:p>
    <w:p w:rsidR="006D5EB6" w:rsidRPr="00F50C55" w:rsidRDefault="006D5EB6" w:rsidP="00FA4FAF">
      <w:pPr>
        <w:pStyle w:val="Prrafodelista"/>
        <w:numPr>
          <w:ilvl w:val="0"/>
          <w:numId w:val="13"/>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revelar información que identifique y explique los importes que en los estados financieros de la entidad surjan de la exploración y evaluación de recursos minerales, que ayude a los usuarios de esos estados financieros a comprender el importe, calendario y certidumbre de los flujos de efectivo futuros de los activos para exploración y evaluación que se hayan reconocido.</w:t>
      </w:r>
    </w:p>
    <w:p w:rsidR="006D5EB6" w:rsidRPr="00F50C55" w:rsidRDefault="006D5EB6" w:rsidP="006D5EB6">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b/>
          <w:bCs/>
          <w:sz w:val="24"/>
          <w:szCs w:val="24"/>
        </w:rPr>
        <w:t>Aplicación.</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Una entidad aplicará esta NIIF a:</w:t>
      </w:r>
    </w:p>
    <w:p w:rsidR="006D5EB6" w:rsidRPr="00F50C55" w:rsidRDefault="006D5EB6" w:rsidP="00FA4FAF">
      <w:pPr>
        <w:pStyle w:val="Prrafodelista"/>
        <w:numPr>
          <w:ilvl w:val="0"/>
          <w:numId w:val="14"/>
        </w:num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sz w:val="24"/>
          <w:szCs w:val="24"/>
        </w:rPr>
        <w:t>Los desembolsos por exploración y evaluación en los que incurra.</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lastRenderedPageBreak/>
        <w:t>La NIIF no aborda otros aspectos relativos a la contabilización de las entidades dedicadas a la exploración y evaluación de recursos minerales.</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Una entidad no aplicará la NIIF a:</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Los desembolsos en que haya incurrido:</w:t>
      </w:r>
    </w:p>
    <w:p w:rsidR="006D5EB6" w:rsidRPr="00F50C55" w:rsidRDefault="006D5EB6" w:rsidP="00FA4FAF">
      <w:pPr>
        <w:pStyle w:val="Prrafodelista"/>
        <w:numPr>
          <w:ilvl w:val="0"/>
          <w:numId w:val="15"/>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lang w:val="es-EC"/>
        </w:rPr>
        <w:t>A</w:t>
      </w:r>
      <w:r w:rsidRPr="00F50C55">
        <w:rPr>
          <w:rFonts w:ascii="Times New Roman" w:hAnsi="Times New Roman" w:cs="Times New Roman"/>
          <w:sz w:val="24"/>
          <w:szCs w:val="24"/>
        </w:rPr>
        <w:t>ntes de la exploración y evaluación de los recursos minerales, tales como desembolsos incurridos antes de obtener el derecho legal de explorar un área determinada;</w:t>
      </w:r>
    </w:p>
    <w:p w:rsidR="006D5EB6" w:rsidRPr="00F50C55" w:rsidRDefault="006D5EB6" w:rsidP="00FA4FAF">
      <w:pPr>
        <w:pStyle w:val="Prrafodelista"/>
        <w:numPr>
          <w:ilvl w:val="0"/>
          <w:numId w:val="15"/>
        </w:numPr>
        <w:autoSpaceDE w:val="0"/>
        <w:autoSpaceDN w:val="0"/>
        <w:adjustRightInd w:val="0"/>
        <w:spacing w:after="0" w:line="360" w:lineRule="auto"/>
        <w:jc w:val="both"/>
        <w:rPr>
          <w:rFonts w:ascii="Times New Roman" w:hAnsi="Times New Roman" w:cs="Times New Roman"/>
          <w:sz w:val="24"/>
          <w:szCs w:val="24"/>
          <w:lang w:val="es-EC"/>
        </w:rPr>
      </w:pPr>
      <w:r w:rsidRPr="00F50C55">
        <w:rPr>
          <w:rFonts w:ascii="Times New Roman" w:hAnsi="Times New Roman" w:cs="Times New Roman"/>
          <w:sz w:val="24"/>
          <w:szCs w:val="24"/>
        </w:rPr>
        <w:t>Después de que sean demostrables la factibilidad técnica y la viabilidad comercial de la extracción de un recurso mineral</w:t>
      </w:r>
      <w:r w:rsidRPr="00F50C55">
        <w:rPr>
          <w:rFonts w:ascii="Times New Roman" w:hAnsi="Times New Roman" w:cs="Times New Roman"/>
          <w:sz w:val="17"/>
          <w:szCs w:val="17"/>
        </w:rPr>
        <w:t>.</w:t>
      </w:r>
    </w:p>
    <w:p w:rsidR="006D5EB6" w:rsidRPr="00F50C55" w:rsidRDefault="006D5EB6" w:rsidP="006D5EB6">
      <w:pPr>
        <w:autoSpaceDE w:val="0"/>
        <w:autoSpaceDN w:val="0"/>
        <w:adjustRightInd w:val="0"/>
        <w:spacing w:after="0" w:line="360" w:lineRule="auto"/>
        <w:jc w:val="center"/>
        <w:rPr>
          <w:rFonts w:ascii="Times New Roman" w:hAnsi="Times New Roman" w:cs="Times New Roman"/>
          <w:b/>
          <w:sz w:val="24"/>
          <w:szCs w:val="24"/>
          <w:u w:val="single"/>
        </w:rPr>
      </w:pPr>
      <w:r w:rsidRPr="00F50C55">
        <w:rPr>
          <w:rFonts w:ascii="Times New Roman" w:hAnsi="Times New Roman" w:cs="Times New Roman"/>
          <w:b/>
          <w:bCs/>
          <w:sz w:val="24"/>
          <w:szCs w:val="24"/>
        </w:rPr>
        <w:t xml:space="preserve">NIIF 7. </w:t>
      </w:r>
      <w:r w:rsidRPr="00F50C55">
        <w:rPr>
          <w:rFonts w:ascii="Times New Roman" w:hAnsi="Times New Roman" w:cs="Times New Roman"/>
          <w:b/>
          <w:sz w:val="24"/>
          <w:szCs w:val="24"/>
          <w:u w:val="single"/>
        </w:rPr>
        <w:t>Instrumentos Financieros: Información a Revelar.</w:t>
      </w:r>
    </w:p>
    <w:p w:rsidR="006D5EB6" w:rsidRPr="00F50C55" w:rsidRDefault="006D5EB6" w:rsidP="006D5EB6">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b/>
          <w:bCs/>
          <w:sz w:val="24"/>
          <w:szCs w:val="24"/>
        </w:rPr>
        <w:t>Objetivo</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Requerir a las entidades que, en sus estados financieros, revelen información que permita a los usuarios evaluar:</w:t>
      </w:r>
    </w:p>
    <w:p w:rsidR="006D5EB6" w:rsidRPr="00F50C55" w:rsidRDefault="006D5EB6" w:rsidP="00FA4FAF">
      <w:pPr>
        <w:pStyle w:val="Prrafodelista"/>
        <w:numPr>
          <w:ilvl w:val="0"/>
          <w:numId w:val="16"/>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la relevancia de los instrumentos financieros en la situación financiera y en el rendimiento de la entidad; y</w:t>
      </w:r>
    </w:p>
    <w:p w:rsidR="006D5EB6" w:rsidRPr="00F50C55" w:rsidRDefault="006D5EB6" w:rsidP="00FA4FAF">
      <w:pPr>
        <w:pStyle w:val="Prrafodelista"/>
        <w:numPr>
          <w:ilvl w:val="0"/>
          <w:numId w:val="16"/>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la naturaleza y alcance de los riesgos procedentes de los instrumentos financieros a los que la entidad se haya expuesto durante el periodo y lo esté al final del periodo sobre el que se informa, así como la forma de gestionar dichos riesgos.</w:t>
      </w:r>
    </w:p>
    <w:p w:rsidR="006D5EB6" w:rsidRPr="00F50C55" w:rsidRDefault="006D5EB6" w:rsidP="006D5EB6">
      <w:pPr>
        <w:autoSpaceDE w:val="0"/>
        <w:autoSpaceDN w:val="0"/>
        <w:adjustRightInd w:val="0"/>
        <w:spacing w:after="0" w:line="360" w:lineRule="auto"/>
        <w:jc w:val="both"/>
        <w:rPr>
          <w:rFonts w:ascii="Times New Roman" w:hAnsi="Times New Roman" w:cs="Times New Roman"/>
          <w:b/>
          <w:sz w:val="24"/>
          <w:szCs w:val="24"/>
        </w:rPr>
      </w:pPr>
      <w:r w:rsidRPr="00F50C55">
        <w:rPr>
          <w:rFonts w:ascii="Times New Roman" w:hAnsi="Times New Roman" w:cs="Times New Roman"/>
          <w:b/>
          <w:sz w:val="24"/>
          <w:szCs w:val="24"/>
        </w:rPr>
        <w:t>Aplicación.</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Esta NIIF se aplicará por todas las entidades a:</w:t>
      </w:r>
    </w:p>
    <w:p w:rsidR="006D5EB6" w:rsidRPr="00F50C55" w:rsidRDefault="006D5EB6" w:rsidP="00FA4FAF">
      <w:pPr>
        <w:pStyle w:val="Prrafodelista"/>
        <w:numPr>
          <w:ilvl w:val="0"/>
          <w:numId w:val="17"/>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Todo tipo de instrumentos financieros.</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Excepto a:</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(a) Aquellas participaciones en subsidiarias, asociadas y negocios conjuntos, que se contabilicen de acuerdo con la NIC 27 </w:t>
      </w:r>
      <w:r w:rsidRPr="00F50C55">
        <w:rPr>
          <w:rFonts w:ascii="Times New Roman" w:hAnsi="Times New Roman" w:cs="Times New Roman"/>
          <w:iCs/>
          <w:sz w:val="24"/>
          <w:szCs w:val="24"/>
        </w:rPr>
        <w:t>Estados Financieros Consolidados y Separados</w:t>
      </w:r>
      <w:r w:rsidRPr="00F50C55">
        <w:rPr>
          <w:rFonts w:ascii="Times New Roman" w:hAnsi="Times New Roman" w:cs="Times New Roman"/>
          <w:sz w:val="24"/>
          <w:szCs w:val="24"/>
        </w:rPr>
        <w:t xml:space="preserve">, NIC 28 </w:t>
      </w:r>
      <w:r w:rsidRPr="00F50C55">
        <w:rPr>
          <w:rFonts w:ascii="Times New Roman" w:hAnsi="Times New Roman" w:cs="Times New Roman"/>
          <w:iCs/>
          <w:sz w:val="24"/>
          <w:szCs w:val="24"/>
        </w:rPr>
        <w:t>Inversiones en Asociadas</w:t>
      </w:r>
      <w:r w:rsidRPr="00F50C55">
        <w:rPr>
          <w:rFonts w:ascii="Times New Roman" w:hAnsi="Times New Roman" w:cs="Times New Roman"/>
          <w:sz w:val="24"/>
          <w:szCs w:val="24"/>
        </w:rPr>
        <w:t xml:space="preserve">, o NIC 31 </w:t>
      </w:r>
      <w:r w:rsidRPr="00F50C55">
        <w:rPr>
          <w:rFonts w:ascii="Times New Roman" w:hAnsi="Times New Roman" w:cs="Times New Roman"/>
          <w:iCs/>
          <w:sz w:val="24"/>
          <w:szCs w:val="24"/>
        </w:rPr>
        <w:t>Participaciones en NegociosConjuntos</w:t>
      </w:r>
      <w:r w:rsidRPr="00F50C55">
        <w:rPr>
          <w:rFonts w:ascii="Times New Roman" w:hAnsi="Times New Roman" w:cs="Times New Roman"/>
          <w:sz w:val="24"/>
          <w:szCs w:val="24"/>
        </w:rPr>
        <w:t xml:space="preserve">. </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(b) Los derechos y obligaciones de los empleadores surgidos por los planes de retribuciones a los empleados a los que se les</w:t>
      </w:r>
      <w:r>
        <w:rPr>
          <w:rFonts w:ascii="Times New Roman" w:hAnsi="Times New Roman" w:cs="Times New Roman"/>
          <w:sz w:val="24"/>
          <w:szCs w:val="24"/>
        </w:rPr>
        <w:t xml:space="preserve"> </w:t>
      </w:r>
      <w:r w:rsidRPr="00F50C55">
        <w:rPr>
          <w:rFonts w:ascii="Times New Roman" w:hAnsi="Times New Roman" w:cs="Times New Roman"/>
          <w:sz w:val="24"/>
          <w:szCs w:val="24"/>
        </w:rPr>
        <w:t xml:space="preserve">aplique la NIC 19 </w:t>
      </w:r>
      <w:r w:rsidRPr="00F50C55">
        <w:rPr>
          <w:rFonts w:ascii="Times New Roman" w:hAnsi="Times New Roman" w:cs="Times New Roman"/>
          <w:iCs/>
          <w:sz w:val="24"/>
          <w:szCs w:val="24"/>
        </w:rPr>
        <w:t>Beneficios a los Empleados.</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(d) Los contratos de seguro, según se definen en la NIIF 4 </w:t>
      </w:r>
      <w:r w:rsidRPr="00F50C55">
        <w:rPr>
          <w:rFonts w:ascii="Times New Roman" w:hAnsi="Times New Roman" w:cs="Times New Roman"/>
          <w:iCs/>
          <w:sz w:val="24"/>
          <w:szCs w:val="24"/>
        </w:rPr>
        <w:t>Contratos de Seguro</w:t>
      </w:r>
      <w:r w:rsidRPr="00F50C55">
        <w:rPr>
          <w:rFonts w:ascii="Times New Roman" w:hAnsi="Times New Roman" w:cs="Times New Roman"/>
          <w:sz w:val="24"/>
          <w:szCs w:val="24"/>
        </w:rPr>
        <w:t>.</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(e) Los instrumentos financieros, contratos y obligaciones que surjan de transacciones con pagos basados en acciones a los que</w:t>
      </w:r>
      <w:r>
        <w:rPr>
          <w:rFonts w:ascii="Times New Roman" w:hAnsi="Times New Roman" w:cs="Times New Roman"/>
          <w:sz w:val="24"/>
          <w:szCs w:val="24"/>
        </w:rPr>
        <w:t xml:space="preserve"> </w:t>
      </w:r>
      <w:r w:rsidRPr="00F50C55">
        <w:rPr>
          <w:rFonts w:ascii="Times New Roman" w:hAnsi="Times New Roman" w:cs="Times New Roman"/>
          <w:sz w:val="24"/>
          <w:szCs w:val="24"/>
        </w:rPr>
        <w:t xml:space="preserve">se aplique la NIIF 2 </w:t>
      </w:r>
      <w:r w:rsidRPr="00F50C55">
        <w:rPr>
          <w:rFonts w:ascii="Times New Roman" w:hAnsi="Times New Roman" w:cs="Times New Roman"/>
          <w:iCs/>
          <w:sz w:val="24"/>
          <w:szCs w:val="24"/>
        </w:rPr>
        <w:t>Pagos Basados en Acciones</w:t>
      </w:r>
      <w:r w:rsidRPr="00F50C55">
        <w:rPr>
          <w:rFonts w:ascii="Times New Roman" w:hAnsi="Times New Roman" w:cs="Times New Roman"/>
          <w:sz w:val="24"/>
          <w:szCs w:val="24"/>
        </w:rPr>
        <w:t>, excepto que esta NIIF se aplique a contratos dentro del alcance de la NIIF9.</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lastRenderedPageBreak/>
        <w:t>(f) instrumentos que requieran ser clasificados como instrumentos de patrimonio.</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Esta NIIF se aplicará tanto a los instrumentos financieros que se reconozcan contablemente como a los que no se reconozcan. </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Los </w:t>
      </w:r>
      <w:r w:rsidRPr="00F50C55">
        <w:rPr>
          <w:rFonts w:ascii="Times New Roman" w:hAnsi="Times New Roman" w:cs="Times New Roman"/>
          <w:b/>
          <w:sz w:val="24"/>
          <w:szCs w:val="24"/>
        </w:rPr>
        <w:t>instrumentos financieros reconocidos</w:t>
      </w:r>
      <w:r w:rsidRPr="00F50C55">
        <w:rPr>
          <w:rFonts w:ascii="Times New Roman" w:hAnsi="Times New Roman" w:cs="Times New Roman"/>
          <w:sz w:val="24"/>
          <w:szCs w:val="24"/>
        </w:rPr>
        <w:t xml:space="preserve"> comprenden activos financieros y pasivos financieros que estén dentro del alcance de la NIIF</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Los </w:t>
      </w:r>
      <w:r w:rsidRPr="00F50C55">
        <w:rPr>
          <w:rFonts w:ascii="Times New Roman" w:hAnsi="Times New Roman" w:cs="Times New Roman"/>
          <w:b/>
          <w:sz w:val="24"/>
          <w:szCs w:val="24"/>
        </w:rPr>
        <w:t>instrumentos financieros no reconocidos</w:t>
      </w:r>
      <w:r w:rsidRPr="00F50C55">
        <w:rPr>
          <w:rFonts w:ascii="Times New Roman" w:hAnsi="Times New Roman" w:cs="Times New Roman"/>
          <w:sz w:val="24"/>
          <w:szCs w:val="24"/>
        </w:rPr>
        <w:t xml:space="preserve"> comprenden algunos instrumentos financieros que, aunque están fuera del alcance</w:t>
      </w:r>
      <w:r>
        <w:rPr>
          <w:rFonts w:ascii="Times New Roman" w:hAnsi="Times New Roman" w:cs="Times New Roman"/>
          <w:sz w:val="24"/>
          <w:szCs w:val="24"/>
        </w:rPr>
        <w:t xml:space="preserve"> </w:t>
      </w:r>
      <w:r w:rsidRPr="00F50C55">
        <w:rPr>
          <w:rFonts w:ascii="Times New Roman" w:hAnsi="Times New Roman" w:cs="Times New Roman"/>
          <w:sz w:val="24"/>
          <w:szCs w:val="24"/>
        </w:rPr>
        <w:t>de la NIIF 9, entran dentro del alcance de esta NIIF (como algunos compromisos de préstamo).</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Esta NIIF se aplicará a los contratos de compra o venta de una partida no financiera que esté dentro del alcance de la NIIF9.</w:t>
      </w:r>
    </w:p>
    <w:p w:rsidR="006D5EB6" w:rsidRPr="00F50C55" w:rsidRDefault="006D5EB6" w:rsidP="006D5EB6">
      <w:pPr>
        <w:autoSpaceDE w:val="0"/>
        <w:autoSpaceDN w:val="0"/>
        <w:adjustRightInd w:val="0"/>
        <w:spacing w:after="0" w:line="360" w:lineRule="auto"/>
        <w:jc w:val="center"/>
        <w:rPr>
          <w:rFonts w:ascii="Times New Roman" w:hAnsi="Times New Roman" w:cs="Times New Roman"/>
          <w:b/>
          <w:sz w:val="24"/>
          <w:szCs w:val="24"/>
          <w:u w:val="single"/>
        </w:rPr>
      </w:pPr>
      <w:r w:rsidRPr="00F50C55">
        <w:rPr>
          <w:rFonts w:ascii="Times New Roman" w:hAnsi="Times New Roman" w:cs="Times New Roman"/>
          <w:b/>
          <w:bCs/>
          <w:sz w:val="24"/>
          <w:szCs w:val="24"/>
        </w:rPr>
        <w:t xml:space="preserve">NIIF 8. </w:t>
      </w:r>
      <w:r w:rsidRPr="00F50C55">
        <w:rPr>
          <w:rFonts w:ascii="Times New Roman" w:hAnsi="Times New Roman" w:cs="Times New Roman"/>
          <w:b/>
          <w:sz w:val="24"/>
          <w:szCs w:val="24"/>
          <w:u w:val="single"/>
        </w:rPr>
        <w:t>Segmentos de Operación.</w:t>
      </w:r>
    </w:p>
    <w:p w:rsidR="006D5EB6" w:rsidRPr="00F50C55" w:rsidRDefault="006D5EB6" w:rsidP="006D5EB6">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b/>
          <w:bCs/>
          <w:sz w:val="24"/>
          <w:szCs w:val="24"/>
        </w:rPr>
        <w:t>Principio básico</w:t>
      </w:r>
    </w:p>
    <w:p w:rsidR="006D5EB6" w:rsidRPr="00F50C55" w:rsidRDefault="006D5EB6" w:rsidP="006D5EB6">
      <w:pPr>
        <w:autoSpaceDE w:val="0"/>
        <w:autoSpaceDN w:val="0"/>
        <w:adjustRightInd w:val="0"/>
        <w:spacing w:after="0" w:line="360" w:lineRule="auto"/>
        <w:jc w:val="both"/>
        <w:rPr>
          <w:rFonts w:ascii="Times New Roman" w:hAnsi="Times New Roman" w:cs="Times New Roman"/>
          <w:bCs/>
          <w:sz w:val="24"/>
          <w:szCs w:val="24"/>
        </w:rPr>
      </w:pPr>
      <w:r w:rsidRPr="00F50C55">
        <w:rPr>
          <w:rFonts w:ascii="Times New Roman" w:hAnsi="Times New Roman" w:cs="Times New Roman"/>
          <w:bCs/>
          <w:sz w:val="24"/>
          <w:szCs w:val="24"/>
        </w:rPr>
        <w:t>Una entidad revelará información que permita que los usuarios de sus estados financieros evalúen la naturaleza y los efectos financieros de las actividades de negocio que desarrolla y los entornos económicos en los que opera.</w:t>
      </w:r>
    </w:p>
    <w:p w:rsidR="006D5EB6" w:rsidRPr="00F50C55" w:rsidRDefault="006D5EB6" w:rsidP="006D5EB6">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b/>
          <w:bCs/>
          <w:sz w:val="24"/>
          <w:szCs w:val="24"/>
        </w:rPr>
        <w:t>Aplicación.</w:t>
      </w:r>
    </w:p>
    <w:p w:rsidR="006D5EB6" w:rsidRPr="00F50C55" w:rsidRDefault="006D5EB6" w:rsidP="006D5EB6">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sz w:val="24"/>
          <w:szCs w:val="24"/>
        </w:rPr>
        <w:t>Esta NIIF se aplicará a:</w:t>
      </w:r>
    </w:p>
    <w:p w:rsidR="006D5EB6" w:rsidRPr="00F50C55" w:rsidRDefault="006D5EB6" w:rsidP="00FA4FAF">
      <w:pPr>
        <w:pStyle w:val="Prrafodelista"/>
        <w:numPr>
          <w:ilvl w:val="0"/>
          <w:numId w:val="18"/>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los estados financieros separados o individuales de una entidad: cuyos instrumentos de deuda o de patrimonio se negocien en un mercado público (ya sea una bolsa de valores nacional o extranjera, o un mercado no organizado, incluyendo los mercados locales y regionales), o que registre, o esté en proceso de registrar, sus estados financieros en una comisión de valores u otra organización reguladora, con el fin de emitir algún tipo de instrumento en un mercado público.</w:t>
      </w:r>
    </w:p>
    <w:p w:rsidR="006D5EB6" w:rsidRPr="00F50C55" w:rsidRDefault="006D5EB6" w:rsidP="00FA4FAF">
      <w:pPr>
        <w:pStyle w:val="Prrafodelista"/>
        <w:numPr>
          <w:ilvl w:val="0"/>
          <w:numId w:val="17"/>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los estados financieros consolidados de un grupo con una controladora: cuyos instrumentos de deuda o de patrimonio se negocien en un mercado público (ya sea una bolsa de valores nacional o extranjera, o un mercado no organizado, incluyendo los mercados locales y regionales), o</w:t>
      </w:r>
      <w:r>
        <w:rPr>
          <w:rFonts w:ascii="Times New Roman" w:hAnsi="Times New Roman" w:cs="Times New Roman"/>
          <w:sz w:val="24"/>
          <w:szCs w:val="24"/>
        </w:rPr>
        <w:t xml:space="preserve"> </w:t>
      </w:r>
      <w:r w:rsidRPr="00F50C55">
        <w:rPr>
          <w:rFonts w:ascii="Times New Roman" w:hAnsi="Times New Roman" w:cs="Times New Roman"/>
          <w:sz w:val="24"/>
          <w:szCs w:val="24"/>
        </w:rPr>
        <w:t>que registre, o esté en proceso de registrar, los estados financieros consolidados en una comisión de valores u otra organización reguladora, con el fin de emitir algún tipo de instrumento en un mercado público.</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lastRenderedPageBreak/>
        <w:t>Cuando una entidad que no esté obligada a aplicar esta NIIF opte por revelar información sobre segmentos que no cumpla con ella, no describirá esa información como información por segmentos.</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Si un informe financiero de una entidad controladora que se encuentre dentro del alcance de por esta NIIF incluyese tanto sus estados financieros consolidados como sus estados financieros separados, sólo se requerirá información por segmentos en los estados financieros consolidados</w:t>
      </w:r>
    </w:p>
    <w:p w:rsidR="006D5EB6" w:rsidRPr="00F50C55" w:rsidRDefault="006D5EB6" w:rsidP="006D5EB6">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b/>
          <w:bCs/>
          <w:sz w:val="24"/>
          <w:szCs w:val="24"/>
        </w:rPr>
        <w:t>Segmentos de Operación</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Un segmento de operación es un componente de una entidad: que desarrolla actividades de negocio de las que puede obtener ingresos de las actividades ordinarias e incurrir en gastos (incluidos los ingresos de las actividades ordinarias y los gastos por transacciones con otros componentes de la misma entidad.</w:t>
      </w:r>
    </w:p>
    <w:p w:rsidR="006D5EB6" w:rsidRPr="00F50C55" w:rsidRDefault="006D5EB6" w:rsidP="006D5EB6">
      <w:pPr>
        <w:autoSpaceDE w:val="0"/>
        <w:autoSpaceDN w:val="0"/>
        <w:adjustRightInd w:val="0"/>
        <w:spacing w:after="0" w:line="360" w:lineRule="auto"/>
        <w:jc w:val="center"/>
        <w:rPr>
          <w:rFonts w:ascii="Times New Roman" w:hAnsi="Times New Roman" w:cs="Times New Roman"/>
          <w:b/>
          <w:sz w:val="24"/>
          <w:szCs w:val="24"/>
        </w:rPr>
      </w:pPr>
      <w:r w:rsidRPr="00F50C55">
        <w:rPr>
          <w:rFonts w:ascii="Times New Roman" w:hAnsi="Times New Roman" w:cs="Times New Roman"/>
          <w:b/>
          <w:bCs/>
          <w:sz w:val="24"/>
          <w:szCs w:val="24"/>
        </w:rPr>
        <w:t xml:space="preserve">NIIF 9. </w:t>
      </w:r>
      <w:r w:rsidRPr="00F50C55">
        <w:rPr>
          <w:rFonts w:ascii="Times New Roman" w:hAnsi="Times New Roman" w:cs="Times New Roman"/>
          <w:b/>
          <w:sz w:val="24"/>
          <w:szCs w:val="24"/>
          <w:u w:val="single"/>
        </w:rPr>
        <w:t>Instrumentos Financieros.</w:t>
      </w:r>
    </w:p>
    <w:p w:rsidR="006D5EB6" w:rsidRPr="00F50C55" w:rsidRDefault="006D5EB6" w:rsidP="006D5EB6">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b/>
          <w:bCs/>
          <w:sz w:val="24"/>
          <w:szCs w:val="24"/>
        </w:rPr>
        <w:t>Objetivo</w:t>
      </w:r>
    </w:p>
    <w:p w:rsidR="006D5EB6" w:rsidRPr="00F50C55" w:rsidRDefault="006D5EB6" w:rsidP="006D5EB6">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sz w:val="24"/>
          <w:szCs w:val="24"/>
        </w:rPr>
        <w:t xml:space="preserve">Establecer los principios para la información financiera sobre </w:t>
      </w:r>
      <w:r w:rsidRPr="00F50C55">
        <w:rPr>
          <w:rFonts w:ascii="Times New Roman" w:hAnsi="Times New Roman" w:cs="Times New Roman"/>
          <w:iCs/>
          <w:sz w:val="24"/>
          <w:szCs w:val="24"/>
        </w:rPr>
        <w:t xml:space="preserve">activos financieros </w:t>
      </w:r>
      <w:r w:rsidRPr="00F50C55">
        <w:rPr>
          <w:rFonts w:ascii="Times New Roman" w:hAnsi="Times New Roman" w:cs="Times New Roman"/>
          <w:sz w:val="24"/>
          <w:szCs w:val="24"/>
        </w:rPr>
        <w:t xml:space="preserve">y </w:t>
      </w:r>
      <w:r w:rsidRPr="00F50C55">
        <w:rPr>
          <w:rFonts w:ascii="Times New Roman" w:hAnsi="Times New Roman" w:cs="Times New Roman"/>
          <w:iCs/>
          <w:sz w:val="24"/>
          <w:szCs w:val="24"/>
        </w:rPr>
        <w:t xml:space="preserve">pasivo </w:t>
      </w:r>
      <w:proofErr w:type="gramStart"/>
      <w:r w:rsidRPr="00F50C55">
        <w:rPr>
          <w:rFonts w:ascii="Times New Roman" w:hAnsi="Times New Roman" w:cs="Times New Roman"/>
          <w:iCs/>
          <w:sz w:val="24"/>
          <w:szCs w:val="24"/>
        </w:rPr>
        <w:t>financieros</w:t>
      </w:r>
      <w:proofErr w:type="gramEnd"/>
      <w:r w:rsidRPr="00F50C55">
        <w:rPr>
          <w:rFonts w:ascii="Times New Roman" w:hAnsi="Times New Roman" w:cs="Times New Roman"/>
          <w:iCs/>
          <w:sz w:val="24"/>
          <w:szCs w:val="24"/>
        </w:rPr>
        <w:t xml:space="preserve"> </w:t>
      </w:r>
      <w:r w:rsidRPr="00F50C55">
        <w:rPr>
          <w:rFonts w:ascii="Times New Roman" w:hAnsi="Times New Roman" w:cs="Times New Roman"/>
          <w:sz w:val="24"/>
          <w:szCs w:val="24"/>
        </w:rPr>
        <w:t>deforma que presente información útil y relevante para los usuarios de los estados financieros para la evaluación de los importes,</w:t>
      </w:r>
      <w:r>
        <w:rPr>
          <w:rFonts w:ascii="Times New Roman" w:hAnsi="Times New Roman" w:cs="Times New Roman"/>
          <w:sz w:val="24"/>
          <w:szCs w:val="24"/>
        </w:rPr>
        <w:t xml:space="preserve"> </w:t>
      </w:r>
      <w:r w:rsidRPr="00F50C55">
        <w:rPr>
          <w:rFonts w:ascii="Times New Roman" w:hAnsi="Times New Roman" w:cs="Times New Roman"/>
          <w:sz w:val="24"/>
          <w:szCs w:val="24"/>
        </w:rPr>
        <w:t>calendario e incertidumbre de los flujos de efectivo futuros de la entidad.</w:t>
      </w:r>
    </w:p>
    <w:p w:rsidR="006D5EB6" w:rsidRPr="00F50C55" w:rsidRDefault="006D5EB6" w:rsidP="006D5EB6">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b/>
          <w:bCs/>
          <w:sz w:val="24"/>
          <w:szCs w:val="24"/>
        </w:rPr>
        <w:t>Alcance</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Una entidad aplicará esta NIIF a todas las partidas dentro del alcance de la NIC 39 </w:t>
      </w:r>
      <w:r w:rsidRPr="00F50C55">
        <w:rPr>
          <w:rFonts w:ascii="Times New Roman" w:hAnsi="Times New Roman" w:cs="Times New Roman"/>
          <w:iCs/>
          <w:sz w:val="24"/>
          <w:szCs w:val="24"/>
        </w:rPr>
        <w:t>Instrumentos Financieros: Reconocimiento y</w:t>
      </w:r>
      <w:r>
        <w:rPr>
          <w:rFonts w:ascii="Times New Roman" w:hAnsi="Times New Roman" w:cs="Times New Roman"/>
          <w:iCs/>
          <w:sz w:val="24"/>
          <w:szCs w:val="24"/>
        </w:rPr>
        <w:t xml:space="preserve"> </w:t>
      </w:r>
      <w:r w:rsidRPr="00F50C55">
        <w:rPr>
          <w:rFonts w:ascii="Times New Roman" w:hAnsi="Times New Roman" w:cs="Times New Roman"/>
          <w:iCs/>
          <w:sz w:val="24"/>
          <w:szCs w:val="24"/>
        </w:rPr>
        <w:t>Medición</w:t>
      </w:r>
      <w:r w:rsidRPr="00F50C55">
        <w:rPr>
          <w:rFonts w:ascii="Times New Roman" w:hAnsi="Times New Roman" w:cs="Times New Roman"/>
          <w:sz w:val="24"/>
          <w:szCs w:val="24"/>
        </w:rPr>
        <w:t>.</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p>
    <w:p w:rsidR="006D5EB6" w:rsidRPr="00F50C55" w:rsidRDefault="006D5EB6" w:rsidP="006D5EB6">
      <w:pPr>
        <w:autoSpaceDE w:val="0"/>
        <w:autoSpaceDN w:val="0"/>
        <w:adjustRightInd w:val="0"/>
        <w:spacing w:after="0" w:line="360" w:lineRule="auto"/>
        <w:jc w:val="both"/>
        <w:rPr>
          <w:rFonts w:ascii="Times New Roman" w:hAnsi="Times New Roman" w:cs="Times New Roman"/>
          <w:iCs/>
          <w:sz w:val="24"/>
          <w:szCs w:val="24"/>
        </w:rPr>
      </w:pPr>
      <w:r w:rsidRPr="00F50C55">
        <w:rPr>
          <w:rFonts w:ascii="Times New Roman" w:hAnsi="Times New Roman" w:cs="Times New Roman"/>
          <w:b/>
          <w:bCs/>
          <w:iCs/>
          <w:sz w:val="24"/>
          <w:szCs w:val="24"/>
        </w:rPr>
        <w:t>NIIF 10</w:t>
      </w:r>
      <w:r w:rsidRPr="00F50C55">
        <w:rPr>
          <w:rFonts w:ascii="Times New Roman" w:hAnsi="Times New Roman" w:cs="Times New Roman"/>
          <w:iCs/>
          <w:sz w:val="24"/>
          <w:szCs w:val="24"/>
        </w:rPr>
        <w:t>. Estados Financieros Consolidados.</w:t>
      </w:r>
    </w:p>
    <w:p w:rsidR="006D5EB6" w:rsidRPr="00F50C55" w:rsidRDefault="006D5EB6" w:rsidP="006D5EB6">
      <w:pPr>
        <w:autoSpaceDE w:val="0"/>
        <w:autoSpaceDN w:val="0"/>
        <w:adjustRightInd w:val="0"/>
        <w:spacing w:after="0" w:line="360" w:lineRule="auto"/>
        <w:jc w:val="both"/>
        <w:rPr>
          <w:rFonts w:ascii="Times New Roman" w:hAnsi="Times New Roman" w:cs="Times New Roman"/>
          <w:b/>
          <w:sz w:val="24"/>
          <w:szCs w:val="24"/>
        </w:rPr>
      </w:pPr>
      <w:r w:rsidRPr="00F50C55">
        <w:rPr>
          <w:rFonts w:ascii="Times New Roman" w:hAnsi="Times New Roman" w:cs="Times New Roman"/>
          <w:b/>
          <w:sz w:val="24"/>
          <w:szCs w:val="24"/>
        </w:rPr>
        <w:t>Objetivo</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Establecer los principios para la presentación y preparación de estados financieros consolidados cuando una entidad controla una o más entidades distintas.</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Para cumplir el objetivo.</w:t>
      </w:r>
    </w:p>
    <w:p w:rsidR="006D5EB6" w:rsidRPr="00F50C55" w:rsidRDefault="006D5EB6" w:rsidP="00FA4FAF">
      <w:pPr>
        <w:pStyle w:val="Prrafodelista"/>
        <w:numPr>
          <w:ilvl w:val="1"/>
          <w:numId w:val="19"/>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requiere que una entidad (la </w:t>
      </w:r>
      <w:r w:rsidRPr="00F50C55">
        <w:rPr>
          <w:rFonts w:ascii="Times New Roman" w:hAnsi="Times New Roman" w:cs="Times New Roman"/>
          <w:iCs/>
          <w:sz w:val="24"/>
          <w:szCs w:val="24"/>
        </w:rPr>
        <w:t>controladora</w:t>
      </w:r>
      <w:r w:rsidRPr="00F50C55">
        <w:rPr>
          <w:rFonts w:ascii="Times New Roman" w:hAnsi="Times New Roman" w:cs="Times New Roman"/>
          <w:sz w:val="24"/>
          <w:szCs w:val="24"/>
        </w:rPr>
        <w:t>) que controla una o más entidades distintas (</w:t>
      </w:r>
      <w:r w:rsidRPr="00F50C55">
        <w:rPr>
          <w:rFonts w:ascii="Times New Roman" w:hAnsi="Times New Roman" w:cs="Times New Roman"/>
          <w:iCs/>
          <w:sz w:val="24"/>
          <w:szCs w:val="24"/>
        </w:rPr>
        <w:t>subsidiarias</w:t>
      </w:r>
      <w:r w:rsidRPr="00F50C55">
        <w:rPr>
          <w:rFonts w:ascii="Times New Roman" w:hAnsi="Times New Roman" w:cs="Times New Roman"/>
          <w:sz w:val="24"/>
          <w:szCs w:val="24"/>
        </w:rPr>
        <w:t>) presente estados financieros consolidados;</w:t>
      </w:r>
    </w:p>
    <w:p w:rsidR="006D5EB6" w:rsidRPr="00F50C55" w:rsidRDefault="006D5EB6" w:rsidP="00FA4FAF">
      <w:pPr>
        <w:pStyle w:val="Prrafodelista"/>
        <w:numPr>
          <w:ilvl w:val="1"/>
          <w:numId w:val="19"/>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define el principio de </w:t>
      </w:r>
      <w:r w:rsidRPr="00F50C55">
        <w:rPr>
          <w:rFonts w:ascii="Times New Roman" w:hAnsi="Times New Roman" w:cs="Times New Roman"/>
          <w:iCs/>
          <w:sz w:val="24"/>
          <w:szCs w:val="24"/>
        </w:rPr>
        <w:t>control</w:t>
      </w:r>
      <w:r w:rsidRPr="00F50C55">
        <w:rPr>
          <w:rFonts w:ascii="Times New Roman" w:hAnsi="Times New Roman" w:cs="Times New Roman"/>
          <w:sz w:val="24"/>
          <w:szCs w:val="24"/>
        </w:rPr>
        <w:t>, y establece el control como la base de la consolidación;</w:t>
      </w:r>
    </w:p>
    <w:p w:rsidR="006D5EB6" w:rsidRPr="00F50C55" w:rsidRDefault="006D5EB6" w:rsidP="00FA4FAF">
      <w:pPr>
        <w:pStyle w:val="Prrafodelista"/>
        <w:numPr>
          <w:ilvl w:val="1"/>
          <w:numId w:val="19"/>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lastRenderedPageBreak/>
        <w:t>establece la forma en que se aplica el principio de control para identificar si un inversor controla una entidad participada y por ello debe consolidar dicha entidad; y</w:t>
      </w:r>
    </w:p>
    <w:p w:rsidR="006D5EB6" w:rsidRPr="00F50C55" w:rsidRDefault="006D5EB6" w:rsidP="00FA4FAF">
      <w:pPr>
        <w:pStyle w:val="Prrafodelista"/>
        <w:numPr>
          <w:ilvl w:val="1"/>
          <w:numId w:val="19"/>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establece los requerimientos contables para la preparación de los estados financieros consolidados.</w:t>
      </w:r>
    </w:p>
    <w:p w:rsidR="006D5EB6" w:rsidRPr="00F50C55" w:rsidRDefault="006D5EB6" w:rsidP="006D5EB6">
      <w:pPr>
        <w:autoSpaceDE w:val="0"/>
        <w:autoSpaceDN w:val="0"/>
        <w:adjustRightInd w:val="0"/>
        <w:spacing w:after="0" w:line="360" w:lineRule="auto"/>
        <w:jc w:val="both"/>
        <w:rPr>
          <w:rFonts w:ascii="Times New Roman" w:hAnsi="Times New Roman" w:cs="Times New Roman"/>
          <w:b/>
          <w:sz w:val="24"/>
          <w:szCs w:val="24"/>
        </w:rPr>
      </w:pPr>
      <w:r w:rsidRPr="00F50C55">
        <w:rPr>
          <w:rFonts w:ascii="Times New Roman" w:hAnsi="Times New Roman" w:cs="Times New Roman"/>
          <w:b/>
          <w:sz w:val="24"/>
          <w:szCs w:val="24"/>
        </w:rPr>
        <w:t>Alcance</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Esta NIIF se aplica a todas las entidades excepto a las siguientes:</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(a) Una controladora no necesita presentar estados financieros consolidados si cumple todas las</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Condiciones siguientes:</w:t>
      </w:r>
    </w:p>
    <w:p w:rsidR="006D5EB6" w:rsidRPr="00F50C55" w:rsidRDefault="006D5EB6" w:rsidP="00FA4FAF">
      <w:pPr>
        <w:pStyle w:val="Prrafodelista"/>
        <w:numPr>
          <w:ilvl w:val="0"/>
          <w:numId w:val="20"/>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es una subsidiaria total o parcialmente participada por otra entidad y todos sus otros propietarios, incluyendo los titulares de acciones sin derecho a voto, han sido informados de que la controladora no presentará estados financieros consolidados y no han manifestado objeciones a ello.</w:t>
      </w:r>
    </w:p>
    <w:p w:rsidR="006D5EB6" w:rsidRPr="00F50C55" w:rsidRDefault="006D5EB6" w:rsidP="00FA4FAF">
      <w:pPr>
        <w:pStyle w:val="Prrafodelista"/>
        <w:numPr>
          <w:ilvl w:val="0"/>
          <w:numId w:val="20"/>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sus instrumentos de deuda o de patrimonio no se negocian en un mercado público (ya sea una bolsa de valores nacional o extranjera, o un mercado no organizado, incluyendo mercados locales o regionales);</w:t>
      </w:r>
    </w:p>
    <w:p w:rsidR="006D5EB6" w:rsidRPr="00F50C55" w:rsidRDefault="006D5EB6" w:rsidP="00FA4FAF">
      <w:pPr>
        <w:pStyle w:val="Prrafodelista"/>
        <w:numPr>
          <w:ilvl w:val="0"/>
          <w:numId w:val="20"/>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no registra, ni está en proceso de hacerlo, sus estados financieros en una comisión de valores u otra organización reguladora, con el propósito de emitir algún tipo de instrumentos en un mercado público; y</w:t>
      </w:r>
    </w:p>
    <w:p w:rsidR="006D5EB6" w:rsidRPr="00F50C55" w:rsidRDefault="006D5EB6" w:rsidP="00FA4FAF">
      <w:pPr>
        <w:pStyle w:val="Prrafodelista"/>
        <w:numPr>
          <w:ilvl w:val="0"/>
          <w:numId w:val="20"/>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su controladora última, o alguna de las controladoras intermedias elabora estados financieros consolidados que se encuentran disponibles para uso público y cumplen con las NIIF.</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(b) Los planes de beneficios post-empleo u otros planes de beneficios a largo plazo a los empleados a los que se aplica la NIC 19 </w:t>
      </w:r>
      <w:r w:rsidRPr="00F50C55">
        <w:rPr>
          <w:rFonts w:ascii="Times New Roman" w:hAnsi="Times New Roman" w:cs="Times New Roman"/>
          <w:iCs/>
          <w:sz w:val="24"/>
          <w:szCs w:val="24"/>
        </w:rPr>
        <w:t>Beneficios a los Empleados</w:t>
      </w:r>
      <w:r w:rsidRPr="00F50C55">
        <w:rPr>
          <w:rFonts w:ascii="Times New Roman" w:hAnsi="Times New Roman" w:cs="Times New Roman"/>
          <w:sz w:val="24"/>
          <w:szCs w:val="24"/>
        </w:rPr>
        <w:t>.</w:t>
      </w:r>
    </w:p>
    <w:p w:rsidR="006D5EB6" w:rsidRPr="00F50C55" w:rsidRDefault="006D5EB6" w:rsidP="006D5EB6">
      <w:pPr>
        <w:autoSpaceDE w:val="0"/>
        <w:autoSpaceDN w:val="0"/>
        <w:adjustRightInd w:val="0"/>
        <w:spacing w:after="0" w:line="360" w:lineRule="auto"/>
        <w:jc w:val="center"/>
        <w:rPr>
          <w:rFonts w:ascii="Times New Roman" w:hAnsi="Times New Roman" w:cs="Times New Roman"/>
          <w:b/>
          <w:iCs/>
          <w:sz w:val="24"/>
          <w:szCs w:val="24"/>
          <w:u w:val="single"/>
        </w:rPr>
      </w:pPr>
      <w:r w:rsidRPr="00F50C55">
        <w:rPr>
          <w:rFonts w:ascii="Times New Roman" w:hAnsi="Times New Roman" w:cs="Times New Roman"/>
          <w:b/>
          <w:bCs/>
          <w:iCs/>
          <w:sz w:val="24"/>
          <w:szCs w:val="24"/>
        </w:rPr>
        <w:t>NIIF 11</w:t>
      </w:r>
      <w:r w:rsidRPr="00F50C55">
        <w:rPr>
          <w:rFonts w:ascii="Times New Roman" w:hAnsi="Times New Roman" w:cs="Times New Roman"/>
          <w:iCs/>
          <w:sz w:val="24"/>
          <w:szCs w:val="24"/>
        </w:rPr>
        <w:t xml:space="preserve">. </w:t>
      </w:r>
      <w:r w:rsidRPr="00F50C55">
        <w:rPr>
          <w:rFonts w:ascii="Times New Roman" w:hAnsi="Times New Roman" w:cs="Times New Roman"/>
          <w:b/>
          <w:iCs/>
          <w:sz w:val="24"/>
          <w:szCs w:val="24"/>
          <w:u w:val="single"/>
        </w:rPr>
        <w:t>Acuerdos Conjuntos</w:t>
      </w:r>
    </w:p>
    <w:p w:rsidR="006D5EB6" w:rsidRPr="00F50C55" w:rsidRDefault="006D5EB6" w:rsidP="006D5EB6">
      <w:pPr>
        <w:autoSpaceDE w:val="0"/>
        <w:autoSpaceDN w:val="0"/>
        <w:adjustRightInd w:val="0"/>
        <w:spacing w:after="0" w:line="360" w:lineRule="auto"/>
        <w:jc w:val="both"/>
        <w:rPr>
          <w:rFonts w:ascii="Times New Roman" w:hAnsi="Times New Roman" w:cs="Times New Roman"/>
          <w:b/>
          <w:sz w:val="24"/>
          <w:szCs w:val="24"/>
        </w:rPr>
      </w:pPr>
      <w:r w:rsidRPr="00F50C55">
        <w:rPr>
          <w:rFonts w:ascii="Times New Roman" w:hAnsi="Times New Roman" w:cs="Times New Roman"/>
          <w:b/>
          <w:sz w:val="24"/>
          <w:szCs w:val="24"/>
        </w:rPr>
        <w:t>Objetivo</w:t>
      </w:r>
    </w:p>
    <w:p w:rsidR="006D5EB6" w:rsidRPr="00F50C55" w:rsidRDefault="006D5EB6" w:rsidP="006D5EB6">
      <w:pPr>
        <w:autoSpaceDE w:val="0"/>
        <w:autoSpaceDN w:val="0"/>
        <w:adjustRightInd w:val="0"/>
        <w:spacing w:after="0" w:line="360" w:lineRule="auto"/>
        <w:jc w:val="both"/>
        <w:rPr>
          <w:rFonts w:ascii="Times New Roman" w:hAnsi="Times New Roman" w:cs="Times New Roman"/>
          <w:bCs/>
          <w:sz w:val="24"/>
          <w:szCs w:val="24"/>
        </w:rPr>
      </w:pPr>
      <w:r w:rsidRPr="00F50C55">
        <w:rPr>
          <w:rFonts w:ascii="Times New Roman" w:hAnsi="Times New Roman" w:cs="Times New Roman"/>
          <w:bCs/>
          <w:sz w:val="24"/>
          <w:szCs w:val="24"/>
        </w:rPr>
        <w:t xml:space="preserve">Establecer los principios para la presentación de información financiera por entidades que tengan una participación en acuerdos que son controlados conjuntamente (es decir </w:t>
      </w:r>
      <w:r w:rsidRPr="00F50C55">
        <w:rPr>
          <w:rFonts w:ascii="Times New Roman" w:hAnsi="Times New Roman" w:cs="Times New Roman"/>
          <w:bCs/>
          <w:iCs/>
          <w:sz w:val="24"/>
          <w:szCs w:val="24"/>
        </w:rPr>
        <w:t>acuerdos conjuntos</w:t>
      </w:r>
      <w:r w:rsidRPr="00F50C55">
        <w:rPr>
          <w:rFonts w:ascii="Times New Roman" w:hAnsi="Times New Roman" w:cs="Times New Roman"/>
          <w:bCs/>
          <w:sz w:val="24"/>
          <w:szCs w:val="24"/>
        </w:rPr>
        <w:t>).</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lastRenderedPageBreak/>
        <w:t xml:space="preserve">Para cumplir el objetivo esta NIIF define </w:t>
      </w:r>
      <w:r w:rsidRPr="00F50C55">
        <w:rPr>
          <w:rFonts w:ascii="Times New Roman" w:hAnsi="Times New Roman" w:cs="Times New Roman"/>
          <w:iCs/>
          <w:sz w:val="24"/>
          <w:szCs w:val="24"/>
        </w:rPr>
        <w:t xml:space="preserve">control conjunto </w:t>
      </w:r>
      <w:r w:rsidRPr="00F50C55">
        <w:rPr>
          <w:rFonts w:ascii="Times New Roman" w:hAnsi="Times New Roman" w:cs="Times New Roman"/>
          <w:sz w:val="24"/>
          <w:szCs w:val="24"/>
        </w:rPr>
        <w:t xml:space="preserve">y requiere que una entidad que es una </w:t>
      </w:r>
      <w:r w:rsidRPr="00F50C55">
        <w:rPr>
          <w:rFonts w:ascii="Times New Roman" w:hAnsi="Times New Roman" w:cs="Times New Roman"/>
          <w:iCs/>
          <w:sz w:val="24"/>
          <w:szCs w:val="24"/>
        </w:rPr>
        <w:t xml:space="preserve">parte de un acuerdo conjunto </w:t>
      </w:r>
      <w:r w:rsidRPr="00F50C55">
        <w:rPr>
          <w:rFonts w:ascii="Times New Roman" w:hAnsi="Times New Roman" w:cs="Times New Roman"/>
          <w:sz w:val="24"/>
          <w:szCs w:val="24"/>
        </w:rPr>
        <w:t>determine el tipo de acuerdo conjunto en el que se encuentra involucrada mediante la evaluación de sus derechos y obligaciones y contabilice dichos derechos y obligaciones de acuerdo con el tipo de acuerdo conjunto.</w:t>
      </w:r>
    </w:p>
    <w:p w:rsidR="006D5EB6" w:rsidRPr="00F50C55" w:rsidRDefault="006D5EB6" w:rsidP="006D5EB6">
      <w:pPr>
        <w:autoSpaceDE w:val="0"/>
        <w:autoSpaceDN w:val="0"/>
        <w:adjustRightInd w:val="0"/>
        <w:spacing w:after="0" w:line="360" w:lineRule="auto"/>
        <w:jc w:val="both"/>
        <w:rPr>
          <w:rFonts w:ascii="Times New Roman" w:hAnsi="Times New Roman" w:cs="Times New Roman"/>
          <w:b/>
          <w:sz w:val="24"/>
          <w:szCs w:val="24"/>
        </w:rPr>
      </w:pPr>
      <w:r w:rsidRPr="00F50C55">
        <w:rPr>
          <w:rFonts w:ascii="Times New Roman" w:hAnsi="Times New Roman" w:cs="Times New Roman"/>
          <w:b/>
          <w:sz w:val="24"/>
          <w:szCs w:val="24"/>
        </w:rPr>
        <w:t xml:space="preserve">Aplicación. </w:t>
      </w:r>
    </w:p>
    <w:p w:rsidR="006D5EB6" w:rsidRPr="00F50C55" w:rsidRDefault="006D5EB6" w:rsidP="006D5EB6">
      <w:pPr>
        <w:autoSpaceDE w:val="0"/>
        <w:autoSpaceDN w:val="0"/>
        <w:adjustRightInd w:val="0"/>
        <w:spacing w:after="0" w:line="360" w:lineRule="auto"/>
        <w:jc w:val="both"/>
        <w:rPr>
          <w:rFonts w:ascii="Times New Roman" w:hAnsi="Times New Roman" w:cs="Times New Roman"/>
          <w:bCs/>
          <w:sz w:val="24"/>
          <w:szCs w:val="24"/>
        </w:rPr>
      </w:pPr>
      <w:r w:rsidRPr="00F50C55">
        <w:rPr>
          <w:rFonts w:ascii="Times New Roman" w:hAnsi="Times New Roman" w:cs="Times New Roman"/>
          <w:bCs/>
          <w:sz w:val="24"/>
          <w:szCs w:val="24"/>
        </w:rPr>
        <w:t>Esta NIIF se aplicará por todas la entidades que sean una parte de un acuerdo conjunto.</w:t>
      </w:r>
    </w:p>
    <w:p w:rsidR="006D5EB6" w:rsidRPr="00F50C55" w:rsidRDefault="006D5EB6" w:rsidP="006D5EB6">
      <w:pPr>
        <w:autoSpaceDE w:val="0"/>
        <w:autoSpaceDN w:val="0"/>
        <w:adjustRightInd w:val="0"/>
        <w:spacing w:after="0" w:line="360" w:lineRule="auto"/>
        <w:jc w:val="both"/>
        <w:rPr>
          <w:rFonts w:ascii="Times New Roman" w:hAnsi="Times New Roman" w:cs="Times New Roman"/>
          <w:b/>
          <w:sz w:val="24"/>
          <w:szCs w:val="24"/>
        </w:rPr>
      </w:pPr>
      <w:r w:rsidRPr="00F50C55">
        <w:rPr>
          <w:rFonts w:ascii="Times New Roman" w:hAnsi="Times New Roman" w:cs="Times New Roman"/>
          <w:b/>
          <w:sz w:val="24"/>
          <w:szCs w:val="24"/>
        </w:rPr>
        <w:t>Acuerdos conjuntos</w:t>
      </w:r>
    </w:p>
    <w:p w:rsidR="006D5EB6" w:rsidRPr="00F50C55" w:rsidRDefault="006D5EB6" w:rsidP="006D5EB6">
      <w:pPr>
        <w:autoSpaceDE w:val="0"/>
        <w:autoSpaceDN w:val="0"/>
        <w:adjustRightInd w:val="0"/>
        <w:spacing w:after="0" w:line="360" w:lineRule="auto"/>
        <w:jc w:val="both"/>
        <w:rPr>
          <w:rFonts w:ascii="Times New Roman" w:hAnsi="Times New Roman" w:cs="Times New Roman"/>
          <w:bCs/>
          <w:sz w:val="24"/>
          <w:szCs w:val="24"/>
        </w:rPr>
      </w:pPr>
      <w:r w:rsidRPr="00F50C55">
        <w:rPr>
          <w:rFonts w:ascii="Times New Roman" w:hAnsi="Times New Roman" w:cs="Times New Roman"/>
          <w:bCs/>
          <w:sz w:val="24"/>
          <w:szCs w:val="24"/>
        </w:rPr>
        <w:t>Un acuerdo conjunto es un acuerdo mediante el cual dos o más partes mantienen control conjunto.</w:t>
      </w:r>
    </w:p>
    <w:p w:rsidR="006D5EB6" w:rsidRPr="00F50C55" w:rsidRDefault="006D5EB6" w:rsidP="006D5EB6">
      <w:pPr>
        <w:autoSpaceDE w:val="0"/>
        <w:autoSpaceDN w:val="0"/>
        <w:adjustRightInd w:val="0"/>
        <w:spacing w:after="0" w:line="360" w:lineRule="auto"/>
        <w:jc w:val="both"/>
        <w:rPr>
          <w:rFonts w:ascii="Times New Roman" w:hAnsi="Times New Roman" w:cs="Times New Roman"/>
          <w:bCs/>
          <w:sz w:val="24"/>
          <w:szCs w:val="24"/>
        </w:rPr>
      </w:pPr>
      <w:r w:rsidRPr="00F50C55">
        <w:rPr>
          <w:rFonts w:ascii="Times New Roman" w:hAnsi="Times New Roman" w:cs="Times New Roman"/>
          <w:bCs/>
          <w:sz w:val="24"/>
          <w:szCs w:val="24"/>
        </w:rPr>
        <w:t>Un acuerdo conjunto tiene las siguientes características:</w:t>
      </w:r>
    </w:p>
    <w:p w:rsidR="006D5EB6" w:rsidRPr="00F50C55" w:rsidRDefault="006D5EB6" w:rsidP="006D5EB6">
      <w:pPr>
        <w:autoSpaceDE w:val="0"/>
        <w:autoSpaceDN w:val="0"/>
        <w:adjustRightInd w:val="0"/>
        <w:spacing w:after="0" w:line="360" w:lineRule="auto"/>
        <w:jc w:val="both"/>
        <w:rPr>
          <w:rFonts w:ascii="Times New Roman" w:hAnsi="Times New Roman" w:cs="Times New Roman"/>
          <w:bCs/>
          <w:sz w:val="24"/>
          <w:szCs w:val="24"/>
        </w:rPr>
      </w:pPr>
      <w:r w:rsidRPr="00F50C55">
        <w:rPr>
          <w:rFonts w:ascii="Times New Roman" w:hAnsi="Times New Roman" w:cs="Times New Roman"/>
          <w:sz w:val="24"/>
          <w:szCs w:val="24"/>
        </w:rPr>
        <w:t xml:space="preserve">(a) </w:t>
      </w:r>
      <w:r w:rsidRPr="00F50C55">
        <w:rPr>
          <w:rFonts w:ascii="Times New Roman" w:hAnsi="Times New Roman" w:cs="Times New Roman"/>
          <w:bCs/>
          <w:sz w:val="24"/>
          <w:szCs w:val="24"/>
        </w:rPr>
        <w:t xml:space="preserve">Las partes está obligadas por un acuerdo </w:t>
      </w:r>
    </w:p>
    <w:p w:rsidR="006D5EB6" w:rsidRPr="00F50C55" w:rsidRDefault="006D5EB6" w:rsidP="006D5EB6">
      <w:pPr>
        <w:autoSpaceDE w:val="0"/>
        <w:autoSpaceDN w:val="0"/>
        <w:adjustRightInd w:val="0"/>
        <w:spacing w:after="0" w:line="360" w:lineRule="auto"/>
        <w:jc w:val="both"/>
        <w:rPr>
          <w:rFonts w:ascii="Times New Roman" w:hAnsi="Times New Roman" w:cs="Times New Roman"/>
          <w:bCs/>
          <w:sz w:val="24"/>
          <w:szCs w:val="24"/>
        </w:rPr>
      </w:pPr>
      <w:r w:rsidRPr="00F50C55">
        <w:rPr>
          <w:rFonts w:ascii="Times New Roman" w:hAnsi="Times New Roman" w:cs="Times New Roman"/>
          <w:sz w:val="24"/>
          <w:szCs w:val="24"/>
        </w:rPr>
        <w:t xml:space="preserve">(b) </w:t>
      </w:r>
      <w:r w:rsidRPr="00F50C55">
        <w:rPr>
          <w:rFonts w:ascii="Times New Roman" w:hAnsi="Times New Roman" w:cs="Times New Roman"/>
          <w:bCs/>
          <w:sz w:val="24"/>
          <w:szCs w:val="24"/>
        </w:rPr>
        <w:t>El acuerdo contractual otorga a dos o más de esas partes control conjunto sobre el Acuerdo</w:t>
      </w:r>
    </w:p>
    <w:p w:rsidR="006D5EB6" w:rsidRPr="00F50C55" w:rsidRDefault="006D5EB6" w:rsidP="006D5EB6">
      <w:pPr>
        <w:autoSpaceDE w:val="0"/>
        <w:autoSpaceDN w:val="0"/>
        <w:adjustRightInd w:val="0"/>
        <w:spacing w:after="0" w:line="360" w:lineRule="auto"/>
        <w:jc w:val="both"/>
        <w:rPr>
          <w:rFonts w:ascii="Times New Roman" w:hAnsi="Times New Roman" w:cs="Times New Roman"/>
          <w:bCs/>
          <w:sz w:val="24"/>
          <w:szCs w:val="24"/>
        </w:rPr>
      </w:pPr>
      <w:r w:rsidRPr="00F50C55">
        <w:rPr>
          <w:rFonts w:ascii="Times New Roman" w:hAnsi="Times New Roman" w:cs="Times New Roman"/>
          <w:bCs/>
          <w:sz w:val="24"/>
          <w:szCs w:val="24"/>
        </w:rPr>
        <w:t xml:space="preserve">Un acuerdo conjunto es una </w:t>
      </w:r>
      <w:r w:rsidRPr="00F50C55">
        <w:rPr>
          <w:rFonts w:ascii="Times New Roman" w:hAnsi="Times New Roman" w:cs="Times New Roman"/>
          <w:bCs/>
          <w:iCs/>
          <w:sz w:val="24"/>
          <w:szCs w:val="24"/>
        </w:rPr>
        <w:t xml:space="preserve">operación conjunta </w:t>
      </w:r>
      <w:r w:rsidRPr="00F50C55">
        <w:rPr>
          <w:rFonts w:ascii="Times New Roman" w:hAnsi="Times New Roman" w:cs="Times New Roman"/>
          <w:bCs/>
          <w:sz w:val="24"/>
          <w:szCs w:val="24"/>
        </w:rPr>
        <w:t xml:space="preserve">o un </w:t>
      </w:r>
      <w:r w:rsidRPr="00F50C55">
        <w:rPr>
          <w:rFonts w:ascii="Times New Roman" w:hAnsi="Times New Roman" w:cs="Times New Roman"/>
          <w:bCs/>
          <w:iCs/>
          <w:sz w:val="24"/>
          <w:szCs w:val="24"/>
        </w:rPr>
        <w:t>negocio conjunto</w:t>
      </w:r>
      <w:r w:rsidRPr="00F50C55">
        <w:rPr>
          <w:rFonts w:ascii="Times New Roman" w:hAnsi="Times New Roman" w:cs="Times New Roman"/>
          <w:bCs/>
          <w:sz w:val="24"/>
          <w:szCs w:val="24"/>
        </w:rPr>
        <w:t>.</w:t>
      </w:r>
    </w:p>
    <w:p w:rsidR="006D5EB6" w:rsidRPr="00F50C55" w:rsidRDefault="006D5EB6" w:rsidP="006D5EB6">
      <w:pPr>
        <w:autoSpaceDE w:val="0"/>
        <w:autoSpaceDN w:val="0"/>
        <w:adjustRightInd w:val="0"/>
        <w:spacing w:after="0" w:line="360" w:lineRule="auto"/>
        <w:jc w:val="both"/>
        <w:rPr>
          <w:rFonts w:ascii="Times New Roman" w:hAnsi="Times New Roman" w:cs="Times New Roman"/>
          <w:b/>
          <w:sz w:val="24"/>
          <w:szCs w:val="24"/>
        </w:rPr>
      </w:pPr>
      <w:r w:rsidRPr="00F50C55">
        <w:rPr>
          <w:rFonts w:ascii="Times New Roman" w:hAnsi="Times New Roman" w:cs="Times New Roman"/>
          <w:b/>
          <w:sz w:val="24"/>
          <w:szCs w:val="24"/>
        </w:rPr>
        <w:t>Control conjunto</w:t>
      </w:r>
    </w:p>
    <w:p w:rsidR="006D5EB6" w:rsidRPr="00F50C55" w:rsidRDefault="006D5EB6" w:rsidP="006D5EB6">
      <w:pPr>
        <w:autoSpaceDE w:val="0"/>
        <w:autoSpaceDN w:val="0"/>
        <w:adjustRightInd w:val="0"/>
        <w:spacing w:after="0" w:line="360" w:lineRule="auto"/>
        <w:jc w:val="both"/>
        <w:rPr>
          <w:rFonts w:ascii="Times New Roman" w:hAnsi="Times New Roman" w:cs="Times New Roman"/>
          <w:bCs/>
          <w:sz w:val="24"/>
          <w:szCs w:val="24"/>
        </w:rPr>
      </w:pPr>
      <w:r w:rsidRPr="00F50C55">
        <w:rPr>
          <w:rFonts w:ascii="Times New Roman" w:hAnsi="Times New Roman" w:cs="Times New Roman"/>
          <w:bCs/>
          <w:sz w:val="24"/>
          <w:szCs w:val="24"/>
        </w:rPr>
        <w:t>Es el reparto del control contractualmente decidido de un acuerdo, que</w:t>
      </w:r>
      <w:r>
        <w:rPr>
          <w:rFonts w:ascii="Times New Roman" w:hAnsi="Times New Roman" w:cs="Times New Roman"/>
          <w:bCs/>
          <w:sz w:val="24"/>
          <w:szCs w:val="24"/>
        </w:rPr>
        <w:t xml:space="preserve"> </w:t>
      </w:r>
      <w:r w:rsidRPr="00F50C55">
        <w:rPr>
          <w:rFonts w:ascii="Times New Roman" w:hAnsi="Times New Roman" w:cs="Times New Roman"/>
          <w:bCs/>
          <w:sz w:val="24"/>
          <w:szCs w:val="24"/>
        </w:rPr>
        <w:t>existe solo cuando las decisiones sobre las actividades relevantes requieren el</w:t>
      </w:r>
      <w:r>
        <w:rPr>
          <w:rFonts w:ascii="Times New Roman" w:hAnsi="Times New Roman" w:cs="Times New Roman"/>
          <w:bCs/>
          <w:sz w:val="24"/>
          <w:szCs w:val="24"/>
        </w:rPr>
        <w:t xml:space="preserve"> </w:t>
      </w:r>
      <w:r w:rsidRPr="00F50C55">
        <w:rPr>
          <w:rFonts w:ascii="Times New Roman" w:hAnsi="Times New Roman" w:cs="Times New Roman"/>
          <w:bCs/>
          <w:sz w:val="24"/>
          <w:szCs w:val="24"/>
        </w:rPr>
        <w:t>consentimiento unánime de las partes que comparten el control.</w:t>
      </w:r>
    </w:p>
    <w:p w:rsidR="006D5EB6" w:rsidRPr="00F50C55" w:rsidRDefault="006D5EB6" w:rsidP="006D5EB6">
      <w:pPr>
        <w:autoSpaceDE w:val="0"/>
        <w:autoSpaceDN w:val="0"/>
        <w:adjustRightInd w:val="0"/>
        <w:spacing w:after="0" w:line="360" w:lineRule="auto"/>
        <w:jc w:val="center"/>
        <w:rPr>
          <w:rFonts w:ascii="Times New Roman" w:hAnsi="Times New Roman" w:cs="Times New Roman"/>
          <w:b/>
          <w:bCs/>
          <w:sz w:val="24"/>
          <w:szCs w:val="24"/>
        </w:rPr>
      </w:pPr>
      <w:r w:rsidRPr="00F50C55">
        <w:rPr>
          <w:rFonts w:ascii="Times New Roman" w:hAnsi="Times New Roman" w:cs="Times New Roman"/>
          <w:b/>
          <w:bCs/>
          <w:sz w:val="24"/>
          <w:szCs w:val="24"/>
        </w:rPr>
        <w:t xml:space="preserve">NIIF 12. </w:t>
      </w:r>
      <w:r w:rsidRPr="00F50C55">
        <w:rPr>
          <w:rFonts w:ascii="Times New Roman" w:hAnsi="Times New Roman" w:cs="Times New Roman"/>
          <w:b/>
          <w:bCs/>
          <w:sz w:val="24"/>
          <w:szCs w:val="24"/>
          <w:u w:val="single"/>
        </w:rPr>
        <w:t>Información a Revelar sobre Participaciones en Otras Entidades</w:t>
      </w:r>
    </w:p>
    <w:p w:rsidR="006D5EB6" w:rsidRPr="00F50C55" w:rsidRDefault="006D5EB6" w:rsidP="006D5EB6">
      <w:pPr>
        <w:autoSpaceDE w:val="0"/>
        <w:autoSpaceDN w:val="0"/>
        <w:adjustRightInd w:val="0"/>
        <w:spacing w:after="0" w:line="360" w:lineRule="auto"/>
        <w:jc w:val="both"/>
        <w:rPr>
          <w:rFonts w:ascii="Times New Roman" w:hAnsi="Times New Roman" w:cs="Times New Roman"/>
          <w:b/>
          <w:sz w:val="24"/>
          <w:szCs w:val="24"/>
        </w:rPr>
      </w:pPr>
      <w:r w:rsidRPr="00F50C55">
        <w:rPr>
          <w:rFonts w:ascii="Times New Roman" w:hAnsi="Times New Roman" w:cs="Times New Roman"/>
          <w:b/>
          <w:sz w:val="24"/>
          <w:szCs w:val="24"/>
        </w:rPr>
        <w:t>Objetivo</w:t>
      </w:r>
    </w:p>
    <w:p w:rsidR="006D5EB6" w:rsidRPr="00F50C55" w:rsidRDefault="006D5EB6" w:rsidP="006D5EB6">
      <w:pPr>
        <w:autoSpaceDE w:val="0"/>
        <w:autoSpaceDN w:val="0"/>
        <w:adjustRightInd w:val="0"/>
        <w:spacing w:after="0" w:line="360" w:lineRule="auto"/>
        <w:jc w:val="both"/>
        <w:rPr>
          <w:rFonts w:ascii="Times New Roman" w:hAnsi="Times New Roman" w:cs="Times New Roman"/>
          <w:bCs/>
          <w:sz w:val="24"/>
          <w:szCs w:val="24"/>
        </w:rPr>
      </w:pPr>
      <w:r w:rsidRPr="00F50C55">
        <w:rPr>
          <w:rFonts w:ascii="Times New Roman" w:hAnsi="Times New Roman" w:cs="Times New Roman"/>
          <w:bCs/>
          <w:sz w:val="24"/>
          <w:szCs w:val="24"/>
        </w:rPr>
        <w:t>Que una entidad revele información que permita a los usuarios de sus estados financieros evaluar:</w:t>
      </w:r>
    </w:p>
    <w:p w:rsidR="006D5EB6" w:rsidRPr="00F50C55" w:rsidRDefault="006D5EB6" w:rsidP="006D5EB6">
      <w:pPr>
        <w:autoSpaceDE w:val="0"/>
        <w:autoSpaceDN w:val="0"/>
        <w:adjustRightInd w:val="0"/>
        <w:spacing w:after="0" w:line="360" w:lineRule="auto"/>
        <w:jc w:val="both"/>
        <w:rPr>
          <w:rFonts w:ascii="Times New Roman" w:hAnsi="Times New Roman" w:cs="Times New Roman"/>
          <w:bCs/>
          <w:sz w:val="24"/>
          <w:szCs w:val="24"/>
        </w:rPr>
      </w:pPr>
      <w:r w:rsidRPr="00F50C55">
        <w:rPr>
          <w:rFonts w:ascii="Times New Roman" w:hAnsi="Times New Roman" w:cs="Times New Roman"/>
          <w:sz w:val="24"/>
          <w:szCs w:val="24"/>
        </w:rPr>
        <w:t xml:space="preserve">(a) </w:t>
      </w:r>
      <w:r w:rsidRPr="00F50C55">
        <w:rPr>
          <w:rFonts w:ascii="Times New Roman" w:hAnsi="Times New Roman" w:cs="Times New Roman"/>
          <w:bCs/>
          <w:sz w:val="24"/>
          <w:szCs w:val="24"/>
        </w:rPr>
        <w:t xml:space="preserve">la naturaleza de sus </w:t>
      </w:r>
      <w:r w:rsidRPr="00F50C55">
        <w:rPr>
          <w:rFonts w:ascii="Times New Roman" w:hAnsi="Times New Roman" w:cs="Times New Roman"/>
          <w:bCs/>
          <w:iCs/>
          <w:sz w:val="24"/>
          <w:szCs w:val="24"/>
        </w:rPr>
        <w:t xml:space="preserve">participaciones en otras entidades </w:t>
      </w:r>
      <w:r w:rsidRPr="00F50C55">
        <w:rPr>
          <w:rFonts w:ascii="Times New Roman" w:hAnsi="Times New Roman" w:cs="Times New Roman"/>
          <w:bCs/>
          <w:sz w:val="24"/>
          <w:szCs w:val="24"/>
        </w:rPr>
        <w:t>y los riesgos asociados con éstas.</w:t>
      </w:r>
    </w:p>
    <w:p w:rsidR="006D5EB6" w:rsidRPr="00F50C55" w:rsidRDefault="006D5EB6" w:rsidP="006D5EB6">
      <w:pPr>
        <w:autoSpaceDE w:val="0"/>
        <w:autoSpaceDN w:val="0"/>
        <w:adjustRightInd w:val="0"/>
        <w:spacing w:after="0" w:line="360" w:lineRule="auto"/>
        <w:jc w:val="both"/>
        <w:rPr>
          <w:rFonts w:ascii="Times New Roman" w:hAnsi="Times New Roman" w:cs="Times New Roman"/>
          <w:bCs/>
          <w:sz w:val="24"/>
          <w:szCs w:val="24"/>
        </w:rPr>
      </w:pPr>
      <w:r w:rsidRPr="00F50C55">
        <w:rPr>
          <w:rFonts w:ascii="Times New Roman" w:hAnsi="Times New Roman" w:cs="Times New Roman"/>
          <w:sz w:val="24"/>
          <w:szCs w:val="24"/>
        </w:rPr>
        <w:t xml:space="preserve">(b) </w:t>
      </w:r>
      <w:r w:rsidRPr="00F50C55">
        <w:rPr>
          <w:rFonts w:ascii="Times New Roman" w:hAnsi="Times New Roman" w:cs="Times New Roman"/>
          <w:bCs/>
          <w:sz w:val="24"/>
          <w:szCs w:val="24"/>
        </w:rPr>
        <w:t>los efectos de esas participaciones en su situación financiera, rendimiento financiero y flujos de efectivo.</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Para cumplir el objetivo del párrafo 1, una entidad revelará:</w:t>
      </w:r>
    </w:p>
    <w:p w:rsidR="006D5EB6" w:rsidRPr="00F50C55" w:rsidRDefault="006D5EB6" w:rsidP="00FA4FAF">
      <w:pPr>
        <w:pStyle w:val="Prrafodelista"/>
        <w:numPr>
          <w:ilvl w:val="0"/>
          <w:numId w:val="21"/>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los juicios y supuestos significativos que ha realizado para determinar la naturaleza de su participación en otra entidad o acuerdo, y el tipo de acuerdo conjunto en el que tiene una participación.</w:t>
      </w:r>
    </w:p>
    <w:p w:rsidR="006D5EB6" w:rsidRPr="00F50C55" w:rsidRDefault="006D5EB6" w:rsidP="00FA4FAF">
      <w:pPr>
        <w:pStyle w:val="Prrafodelista"/>
        <w:numPr>
          <w:ilvl w:val="0"/>
          <w:numId w:val="21"/>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 información sobre su participación en: Subsidiarias</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lastRenderedPageBreak/>
        <w:t xml:space="preserve">Si la información a revelar requerida por esta NIIF, junto con la requerida por otras NIIF, no cumple el objetivo del párrafo 1, una entidad revelará cualquier otra información adicional que sea necesaria para cumplir con ese objetivo. Una entidad considerará el nivel de detalle necesario para satisfacer el objetivo de información a revelar y cuánto énfasis poner en cada uno de los requerimientos de esta NIIF. Agregará o desagregará información a revelar de forma que la utilidad de la información no se obstaculice por la inclusión de un gran volumen de detalles insignificantes o la acumulación de partidas que tengan diferentes características </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Aplicación.</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Esta NIIF se aplicará por una entidad que tiene una participación en las siguientes entidades:</w:t>
      </w:r>
    </w:p>
    <w:p w:rsidR="006D5EB6" w:rsidRPr="00F50C55" w:rsidRDefault="006D5EB6" w:rsidP="00FA4FAF">
      <w:pPr>
        <w:pStyle w:val="Prrafodelista"/>
        <w:numPr>
          <w:ilvl w:val="1"/>
          <w:numId w:val="18"/>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subsidiarias</w:t>
      </w:r>
    </w:p>
    <w:p w:rsidR="006D5EB6" w:rsidRPr="00F50C55" w:rsidRDefault="006D5EB6" w:rsidP="00FA4FAF">
      <w:pPr>
        <w:pStyle w:val="Prrafodelista"/>
        <w:numPr>
          <w:ilvl w:val="1"/>
          <w:numId w:val="18"/>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acuerdos conjuntos (es decir, operaciones conjuntas o negocios conjuntos)</w:t>
      </w:r>
    </w:p>
    <w:p w:rsidR="006D5EB6" w:rsidRPr="00F50C55" w:rsidRDefault="006D5EB6" w:rsidP="00FA4FAF">
      <w:pPr>
        <w:pStyle w:val="Prrafodelista"/>
        <w:numPr>
          <w:ilvl w:val="1"/>
          <w:numId w:val="18"/>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asociadas</w:t>
      </w:r>
    </w:p>
    <w:p w:rsidR="006D5EB6" w:rsidRPr="00F50C55" w:rsidRDefault="006D5EB6" w:rsidP="00FA4FAF">
      <w:pPr>
        <w:pStyle w:val="Prrafodelista"/>
        <w:numPr>
          <w:ilvl w:val="1"/>
          <w:numId w:val="18"/>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entidades estructuradas no consolidadas.</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Esta NIIF no se aplicará a:</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(a) Los planes de beneficios post-empleo u otros planes de beneficios a largo plazo a los empleados </w:t>
      </w:r>
    </w:p>
    <w:p w:rsidR="006D5EB6" w:rsidRPr="00F50C55" w:rsidRDefault="006D5EB6" w:rsidP="006D5EB6">
      <w:pPr>
        <w:autoSpaceDE w:val="0"/>
        <w:autoSpaceDN w:val="0"/>
        <w:adjustRightInd w:val="0"/>
        <w:spacing w:after="0" w:line="360" w:lineRule="auto"/>
        <w:jc w:val="both"/>
        <w:rPr>
          <w:rFonts w:ascii="Times New Roman" w:hAnsi="Times New Roman" w:cs="Times New Roman"/>
          <w:iCs/>
          <w:sz w:val="24"/>
          <w:szCs w:val="24"/>
        </w:rPr>
      </w:pPr>
      <w:r w:rsidRPr="00F50C55">
        <w:rPr>
          <w:rFonts w:ascii="Times New Roman" w:hAnsi="Times New Roman" w:cs="Times New Roman"/>
          <w:sz w:val="24"/>
          <w:szCs w:val="24"/>
        </w:rPr>
        <w:t xml:space="preserve">(b) Los estados financieros separados de una entidad a la que se aplica la NIC 27 </w:t>
      </w:r>
      <w:r w:rsidRPr="00F50C55">
        <w:rPr>
          <w:rFonts w:ascii="Times New Roman" w:hAnsi="Times New Roman" w:cs="Times New Roman"/>
          <w:iCs/>
          <w:sz w:val="24"/>
          <w:szCs w:val="24"/>
        </w:rPr>
        <w:t>Estados</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iCs/>
          <w:sz w:val="24"/>
          <w:szCs w:val="24"/>
        </w:rPr>
        <w:t>Financieros Separados</w:t>
      </w:r>
      <w:r w:rsidRPr="00F50C55">
        <w:rPr>
          <w:rFonts w:ascii="Times New Roman" w:hAnsi="Times New Roman" w:cs="Times New Roman"/>
          <w:sz w:val="24"/>
          <w:szCs w:val="24"/>
        </w:rPr>
        <w:t xml:space="preserve">. </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(c) Una participación mantenida por una entidad que participa en un acuerdo conjunto pero no          tiene control conjunto de éste a menos que esa participación dé lugar a una influencia significativa sobre el acuerdo o sea una participación en una entidad estructurada.</w:t>
      </w:r>
    </w:p>
    <w:p w:rsidR="006D5EB6" w:rsidRPr="00F50C55" w:rsidRDefault="006D5EB6" w:rsidP="006D5EB6">
      <w:pPr>
        <w:autoSpaceDE w:val="0"/>
        <w:autoSpaceDN w:val="0"/>
        <w:adjustRightInd w:val="0"/>
        <w:spacing w:after="0" w:line="360" w:lineRule="auto"/>
        <w:jc w:val="both"/>
        <w:rPr>
          <w:rFonts w:ascii="Times New Roman" w:hAnsi="Times New Roman" w:cs="Times New Roman"/>
          <w:iCs/>
          <w:sz w:val="24"/>
          <w:szCs w:val="24"/>
        </w:rPr>
      </w:pPr>
      <w:r w:rsidRPr="00F50C55">
        <w:rPr>
          <w:rFonts w:ascii="Times New Roman" w:hAnsi="Times New Roman" w:cs="Times New Roman"/>
          <w:sz w:val="24"/>
          <w:szCs w:val="24"/>
        </w:rPr>
        <w:t xml:space="preserve">(d) Una participación en otra entidad que se contabilice de acuerdo con la NIIF 9 </w:t>
      </w:r>
      <w:r w:rsidRPr="00F50C55">
        <w:rPr>
          <w:rFonts w:ascii="Times New Roman" w:hAnsi="Times New Roman" w:cs="Times New Roman"/>
          <w:iCs/>
          <w:sz w:val="24"/>
          <w:szCs w:val="24"/>
        </w:rPr>
        <w:t>Instrumentos</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iCs/>
          <w:sz w:val="24"/>
          <w:szCs w:val="24"/>
        </w:rPr>
        <w:t>Financieros</w:t>
      </w:r>
      <w:r w:rsidRPr="00F50C55">
        <w:rPr>
          <w:rFonts w:ascii="Times New Roman" w:hAnsi="Times New Roman" w:cs="Times New Roman"/>
          <w:sz w:val="24"/>
          <w:szCs w:val="24"/>
        </w:rPr>
        <w:t>. Sin embargo, una entidad aplicará esta NIIF:</w:t>
      </w:r>
    </w:p>
    <w:p w:rsidR="006D5EB6" w:rsidRPr="00F50C55" w:rsidRDefault="006D5EB6" w:rsidP="00FA4FAF">
      <w:pPr>
        <w:pStyle w:val="Prrafodelista"/>
        <w:numPr>
          <w:ilvl w:val="0"/>
          <w:numId w:val="22"/>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cuando esa participación lo sea en una asociada o un negocio conjunto que, de acuerdo con la NIC 28 </w:t>
      </w:r>
      <w:r w:rsidRPr="00F50C55">
        <w:rPr>
          <w:rFonts w:ascii="Times New Roman" w:hAnsi="Times New Roman" w:cs="Times New Roman"/>
          <w:iCs/>
          <w:sz w:val="24"/>
          <w:szCs w:val="24"/>
        </w:rPr>
        <w:t>Inversiones en Asociadas y Negocios Conjuntos</w:t>
      </w:r>
      <w:r w:rsidRPr="00F50C55">
        <w:rPr>
          <w:rFonts w:ascii="Times New Roman" w:hAnsi="Times New Roman" w:cs="Times New Roman"/>
          <w:sz w:val="24"/>
          <w:szCs w:val="24"/>
        </w:rPr>
        <w:t>, se mida al valor razonable con cambios en resultados.</w:t>
      </w:r>
    </w:p>
    <w:p w:rsidR="006D5EB6" w:rsidRPr="00F50C55" w:rsidRDefault="006D5EB6" w:rsidP="00FA4FAF">
      <w:pPr>
        <w:pStyle w:val="Prrafodelista"/>
        <w:numPr>
          <w:ilvl w:val="0"/>
          <w:numId w:val="22"/>
        </w:num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cuando esa participación sea en una entidad estructurada no consolidada. Juicios.</w:t>
      </w:r>
    </w:p>
    <w:p w:rsidR="006D5EB6" w:rsidRPr="00F50C55" w:rsidRDefault="006D5EB6" w:rsidP="006D5EB6">
      <w:pPr>
        <w:autoSpaceDE w:val="0"/>
        <w:autoSpaceDN w:val="0"/>
        <w:adjustRightInd w:val="0"/>
        <w:spacing w:after="0" w:line="360" w:lineRule="auto"/>
        <w:jc w:val="center"/>
        <w:rPr>
          <w:rFonts w:ascii="Times New Roman" w:hAnsi="Times New Roman" w:cs="Times New Roman"/>
          <w:b/>
          <w:sz w:val="24"/>
          <w:szCs w:val="24"/>
          <w:u w:val="single"/>
        </w:rPr>
      </w:pPr>
      <w:r w:rsidRPr="00F50C55">
        <w:rPr>
          <w:rFonts w:ascii="Times New Roman" w:hAnsi="Times New Roman" w:cs="Times New Roman"/>
          <w:b/>
          <w:bCs/>
          <w:sz w:val="24"/>
          <w:szCs w:val="24"/>
        </w:rPr>
        <w:lastRenderedPageBreak/>
        <w:t>NIIF 13</w:t>
      </w:r>
      <w:r w:rsidRPr="00F50C55">
        <w:rPr>
          <w:rFonts w:ascii="Times New Roman" w:hAnsi="Times New Roman" w:cs="Times New Roman"/>
          <w:b/>
          <w:sz w:val="24"/>
          <w:szCs w:val="24"/>
          <w:u w:val="single"/>
        </w:rPr>
        <w:t>. Medición del Valor Razonable</w:t>
      </w:r>
    </w:p>
    <w:p w:rsidR="006D5EB6" w:rsidRPr="00F50C55" w:rsidRDefault="006D5EB6" w:rsidP="006D5EB6">
      <w:pPr>
        <w:autoSpaceDE w:val="0"/>
        <w:autoSpaceDN w:val="0"/>
        <w:adjustRightInd w:val="0"/>
        <w:spacing w:after="0" w:line="360" w:lineRule="auto"/>
        <w:jc w:val="both"/>
        <w:rPr>
          <w:rFonts w:ascii="Times New Roman" w:hAnsi="Times New Roman" w:cs="Times New Roman"/>
          <w:b/>
          <w:sz w:val="24"/>
          <w:szCs w:val="24"/>
        </w:rPr>
      </w:pPr>
      <w:r w:rsidRPr="00F50C55">
        <w:rPr>
          <w:rFonts w:ascii="Times New Roman" w:hAnsi="Times New Roman" w:cs="Times New Roman"/>
          <w:b/>
          <w:sz w:val="24"/>
          <w:szCs w:val="24"/>
        </w:rPr>
        <w:t>Objetivo</w:t>
      </w:r>
    </w:p>
    <w:p w:rsidR="006D5EB6" w:rsidRPr="00F50C55" w:rsidRDefault="006D5EB6" w:rsidP="006D5EB6">
      <w:pPr>
        <w:autoSpaceDE w:val="0"/>
        <w:autoSpaceDN w:val="0"/>
        <w:adjustRightInd w:val="0"/>
        <w:spacing w:after="0" w:line="360" w:lineRule="auto"/>
        <w:jc w:val="both"/>
        <w:rPr>
          <w:rFonts w:ascii="Times New Roman" w:hAnsi="Times New Roman" w:cs="Times New Roman"/>
          <w:b/>
          <w:bCs/>
          <w:sz w:val="24"/>
          <w:szCs w:val="24"/>
        </w:rPr>
      </w:pPr>
      <w:r w:rsidRPr="00F50C55">
        <w:rPr>
          <w:rFonts w:ascii="Times New Roman" w:hAnsi="Times New Roman" w:cs="Times New Roman"/>
          <w:b/>
          <w:bCs/>
          <w:sz w:val="24"/>
          <w:szCs w:val="24"/>
        </w:rPr>
        <w:t>1 Esta NIIF:</w:t>
      </w:r>
    </w:p>
    <w:p w:rsidR="006D5EB6" w:rsidRPr="00F50C55" w:rsidRDefault="006D5EB6" w:rsidP="00FA4FAF">
      <w:pPr>
        <w:pStyle w:val="Prrafodelista"/>
        <w:numPr>
          <w:ilvl w:val="0"/>
          <w:numId w:val="23"/>
        </w:numPr>
        <w:autoSpaceDE w:val="0"/>
        <w:autoSpaceDN w:val="0"/>
        <w:adjustRightInd w:val="0"/>
        <w:spacing w:after="0" w:line="360" w:lineRule="auto"/>
        <w:jc w:val="both"/>
        <w:rPr>
          <w:rFonts w:ascii="Times New Roman" w:hAnsi="Times New Roman" w:cs="Times New Roman"/>
          <w:bCs/>
          <w:sz w:val="24"/>
          <w:szCs w:val="24"/>
        </w:rPr>
      </w:pPr>
      <w:r w:rsidRPr="00F50C55">
        <w:rPr>
          <w:rFonts w:ascii="Times New Roman" w:hAnsi="Times New Roman" w:cs="Times New Roman"/>
          <w:bCs/>
          <w:sz w:val="24"/>
          <w:szCs w:val="24"/>
        </w:rPr>
        <w:t xml:space="preserve">define </w:t>
      </w:r>
      <w:r w:rsidRPr="00F50C55">
        <w:rPr>
          <w:rFonts w:ascii="Times New Roman" w:hAnsi="Times New Roman" w:cs="Times New Roman"/>
          <w:bCs/>
          <w:iCs/>
          <w:sz w:val="24"/>
          <w:szCs w:val="24"/>
        </w:rPr>
        <w:t>valor razonable</w:t>
      </w:r>
      <w:r w:rsidRPr="00F50C55">
        <w:rPr>
          <w:rFonts w:ascii="Times New Roman" w:hAnsi="Times New Roman" w:cs="Times New Roman"/>
          <w:bCs/>
          <w:sz w:val="24"/>
          <w:szCs w:val="24"/>
        </w:rPr>
        <w:t>;</w:t>
      </w:r>
    </w:p>
    <w:p w:rsidR="006D5EB6" w:rsidRPr="00F50C55" w:rsidRDefault="006D5EB6" w:rsidP="00FA4FAF">
      <w:pPr>
        <w:pStyle w:val="Prrafodelista"/>
        <w:numPr>
          <w:ilvl w:val="0"/>
          <w:numId w:val="23"/>
        </w:numPr>
        <w:autoSpaceDE w:val="0"/>
        <w:autoSpaceDN w:val="0"/>
        <w:adjustRightInd w:val="0"/>
        <w:spacing w:after="0" w:line="360" w:lineRule="auto"/>
        <w:jc w:val="both"/>
        <w:rPr>
          <w:rFonts w:ascii="Times New Roman" w:hAnsi="Times New Roman" w:cs="Times New Roman"/>
          <w:bCs/>
          <w:sz w:val="24"/>
          <w:szCs w:val="24"/>
        </w:rPr>
      </w:pPr>
      <w:r w:rsidRPr="00F50C55">
        <w:rPr>
          <w:rFonts w:ascii="Times New Roman" w:hAnsi="Times New Roman" w:cs="Times New Roman"/>
          <w:bCs/>
          <w:sz w:val="24"/>
          <w:szCs w:val="24"/>
        </w:rPr>
        <w:t>establece en una sola NIIF un marco para la medición del valor razonable.</w:t>
      </w:r>
    </w:p>
    <w:p w:rsidR="006D5EB6" w:rsidRPr="00F50C55" w:rsidRDefault="006D5EB6" w:rsidP="00FA4FAF">
      <w:pPr>
        <w:pStyle w:val="Prrafodelista"/>
        <w:numPr>
          <w:ilvl w:val="0"/>
          <w:numId w:val="23"/>
        </w:numPr>
        <w:autoSpaceDE w:val="0"/>
        <w:autoSpaceDN w:val="0"/>
        <w:adjustRightInd w:val="0"/>
        <w:spacing w:after="0" w:line="360" w:lineRule="auto"/>
        <w:jc w:val="both"/>
        <w:rPr>
          <w:rFonts w:ascii="Times New Roman" w:hAnsi="Times New Roman" w:cs="Times New Roman"/>
          <w:bCs/>
          <w:sz w:val="24"/>
          <w:szCs w:val="24"/>
        </w:rPr>
      </w:pPr>
      <w:r w:rsidRPr="00F50C55">
        <w:rPr>
          <w:rFonts w:ascii="Times New Roman" w:hAnsi="Times New Roman" w:cs="Times New Roman"/>
          <w:bCs/>
          <w:sz w:val="24"/>
          <w:szCs w:val="24"/>
        </w:rPr>
        <w:t>requiere información a revelar sobre las mediciones del valor razonable.</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 xml:space="preserve">El valor razonable es una medición basada en el mercado, no una medición específica de la entidad. </w:t>
      </w:r>
      <w:proofErr w:type="gramStart"/>
      <w:r w:rsidRPr="00F50C55">
        <w:rPr>
          <w:rFonts w:ascii="Times New Roman" w:hAnsi="Times New Roman" w:cs="Times New Roman"/>
          <w:sz w:val="24"/>
          <w:szCs w:val="24"/>
        </w:rPr>
        <w:t>el</w:t>
      </w:r>
      <w:proofErr w:type="gramEnd"/>
      <w:r w:rsidRPr="00F50C55">
        <w:rPr>
          <w:rFonts w:ascii="Times New Roman" w:hAnsi="Times New Roman" w:cs="Times New Roman"/>
          <w:sz w:val="24"/>
          <w:szCs w:val="24"/>
        </w:rPr>
        <w:t xml:space="preserve"> objetivo de una medición del valor razonable en ambos es estimar el precio al que tendría lugar una </w:t>
      </w:r>
      <w:r w:rsidRPr="00F50C55">
        <w:rPr>
          <w:rFonts w:ascii="Times New Roman" w:hAnsi="Times New Roman" w:cs="Times New Roman"/>
          <w:iCs/>
          <w:sz w:val="24"/>
          <w:szCs w:val="24"/>
        </w:rPr>
        <w:t>transacción</w:t>
      </w:r>
      <w:r>
        <w:rPr>
          <w:rFonts w:ascii="Times New Roman" w:hAnsi="Times New Roman" w:cs="Times New Roman"/>
          <w:iCs/>
          <w:sz w:val="24"/>
          <w:szCs w:val="24"/>
        </w:rPr>
        <w:t xml:space="preserve"> </w:t>
      </w:r>
      <w:r w:rsidRPr="00F50C55">
        <w:rPr>
          <w:rFonts w:ascii="Times New Roman" w:hAnsi="Times New Roman" w:cs="Times New Roman"/>
          <w:iCs/>
          <w:sz w:val="24"/>
          <w:szCs w:val="24"/>
        </w:rPr>
        <w:t xml:space="preserve">ordenada </w:t>
      </w:r>
      <w:r w:rsidRPr="00F50C55">
        <w:rPr>
          <w:rFonts w:ascii="Times New Roman" w:hAnsi="Times New Roman" w:cs="Times New Roman"/>
          <w:sz w:val="24"/>
          <w:szCs w:val="24"/>
        </w:rPr>
        <w:t xml:space="preserve">para vender el activo o transferir el pasivo entre </w:t>
      </w:r>
      <w:r w:rsidRPr="00F50C55">
        <w:rPr>
          <w:rFonts w:ascii="Times New Roman" w:hAnsi="Times New Roman" w:cs="Times New Roman"/>
          <w:iCs/>
          <w:sz w:val="24"/>
          <w:szCs w:val="24"/>
        </w:rPr>
        <w:t xml:space="preserve">participantes de mercado </w:t>
      </w:r>
      <w:r w:rsidRPr="00F50C55">
        <w:rPr>
          <w:rFonts w:ascii="Times New Roman" w:hAnsi="Times New Roman" w:cs="Times New Roman"/>
          <w:sz w:val="24"/>
          <w:szCs w:val="24"/>
        </w:rPr>
        <w:t xml:space="preserve">en la fecha de la medición en condiciones de mercado presentes (es decir, un </w:t>
      </w:r>
      <w:r w:rsidRPr="00F50C55">
        <w:rPr>
          <w:rFonts w:ascii="Times New Roman" w:hAnsi="Times New Roman" w:cs="Times New Roman"/>
          <w:iCs/>
          <w:sz w:val="24"/>
          <w:szCs w:val="24"/>
        </w:rPr>
        <w:t xml:space="preserve">precio de salida </w:t>
      </w:r>
      <w:r w:rsidRPr="00F50C55">
        <w:rPr>
          <w:rFonts w:ascii="Times New Roman" w:hAnsi="Times New Roman" w:cs="Times New Roman"/>
          <w:sz w:val="24"/>
          <w:szCs w:val="24"/>
        </w:rPr>
        <w:t>en la fecha de la medición desde la perspectiva de un participante de mercado que mantiene el activo o debe el pasivo.</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La definición de valor razonable se centra en los activos y pasivos porque son un objeto principal</w:t>
      </w:r>
      <w:r>
        <w:rPr>
          <w:rFonts w:ascii="Times New Roman" w:hAnsi="Times New Roman" w:cs="Times New Roman"/>
          <w:sz w:val="24"/>
          <w:szCs w:val="24"/>
        </w:rPr>
        <w:t xml:space="preserve"> </w:t>
      </w:r>
      <w:r w:rsidRPr="00F50C55">
        <w:rPr>
          <w:rFonts w:ascii="Times New Roman" w:hAnsi="Times New Roman" w:cs="Times New Roman"/>
          <w:sz w:val="24"/>
          <w:szCs w:val="24"/>
        </w:rPr>
        <w:t>de la medición en contabilidad. Además, esta NIIF se aplicará a instrumentos de patrimonio</w:t>
      </w:r>
      <w:r>
        <w:rPr>
          <w:rFonts w:ascii="Times New Roman" w:hAnsi="Times New Roman" w:cs="Times New Roman"/>
          <w:sz w:val="24"/>
          <w:szCs w:val="24"/>
        </w:rPr>
        <w:t xml:space="preserve"> </w:t>
      </w:r>
      <w:r w:rsidRPr="00F50C55">
        <w:rPr>
          <w:rFonts w:ascii="Times New Roman" w:hAnsi="Times New Roman" w:cs="Times New Roman"/>
          <w:sz w:val="24"/>
          <w:szCs w:val="24"/>
        </w:rPr>
        <w:t>propios de una entidad medida a valor razonable.</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b/>
          <w:sz w:val="24"/>
          <w:szCs w:val="24"/>
        </w:rPr>
        <w:t>Aplicación</w:t>
      </w:r>
      <w:r w:rsidRPr="00F50C55">
        <w:rPr>
          <w:rFonts w:ascii="Times New Roman" w:hAnsi="Times New Roman" w:cs="Times New Roman"/>
          <w:sz w:val="24"/>
          <w:szCs w:val="24"/>
        </w:rPr>
        <w:t>.</w:t>
      </w:r>
    </w:p>
    <w:p w:rsidR="006D5EB6" w:rsidRPr="00F50C55" w:rsidRDefault="006D5EB6" w:rsidP="006D5EB6">
      <w:pPr>
        <w:autoSpaceDE w:val="0"/>
        <w:autoSpaceDN w:val="0"/>
        <w:adjustRightInd w:val="0"/>
        <w:spacing w:after="0" w:line="360" w:lineRule="auto"/>
        <w:jc w:val="both"/>
        <w:rPr>
          <w:rFonts w:ascii="Times New Roman" w:hAnsi="Times New Roman" w:cs="Times New Roman"/>
          <w:bCs/>
          <w:sz w:val="24"/>
          <w:szCs w:val="24"/>
        </w:rPr>
      </w:pPr>
      <w:r w:rsidRPr="00F50C55">
        <w:rPr>
          <w:rFonts w:ascii="Times New Roman" w:hAnsi="Times New Roman" w:cs="Times New Roman"/>
          <w:bCs/>
          <w:sz w:val="24"/>
          <w:szCs w:val="24"/>
        </w:rPr>
        <w:t>Esta NIIF se aplicará cuando otra NIIF requiera o permita mediciones a valor razonable o</w:t>
      </w:r>
      <w:r>
        <w:rPr>
          <w:rFonts w:ascii="Times New Roman" w:hAnsi="Times New Roman" w:cs="Times New Roman"/>
          <w:bCs/>
          <w:sz w:val="24"/>
          <w:szCs w:val="24"/>
        </w:rPr>
        <w:t xml:space="preserve"> </w:t>
      </w:r>
      <w:r w:rsidRPr="00F50C55">
        <w:rPr>
          <w:rFonts w:ascii="Times New Roman" w:hAnsi="Times New Roman" w:cs="Times New Roman"/>
          <w:bCs/>
          <w:sz w:val="24"/>
          <w:szCs w:val="24"/>
        </w:rPr>
        <w:t>información a revelar sobre mediciones a valor razonable (y mediciones, tales como valor</w:t>
      </w:r>
      <w:r>
        <w:rPr>
          <w:rFonts w:ascii="Times New Roman" w:hAnsi="Times New Roman" w:cs="Times New Roman"/>
          <w:bCs/>
          <w:sz w:val="24"/>
          <w:szCs w:val="24"/>
        </w:rPr>
        <w:t xml:space="preserve"> </w:t>
      </w:r>
      <w:r w:rsidRPr="00F50C55">
        <w:rPr>
          <w:rFonts w:ascii="Times New Roman" w:hAnsi="Times New Roman" w:cs="Times New Roman"/>
          <w:bCs/>
          <w:sz w:val="24"/>
          <w:szCs w:val="24"/>
        </w:rPr>
        <w:t>razonable menos costos de venta, basados en el valor razonable o información a revelar</w:t>
      </w:r>
      <w:r>
        <w:rPr>
          <w:rFonts w:ascii="Times New Roman" w:hAnsi="Times New Roman" w:cs="Times New Roman"/>
          <w:bCs/>
          <w:sz w:val="24"/>
          <w:szCs w:val="24"/>
        </w:rPr>
        <w:t xml:space="preserve"> </w:t>
      </w:r>
      <w:r w:rsidRPr="00F50C55">
        <w:rPr>
          <w:rFonts w:ascii="Times New Roman" w:hAnsi="Times New Roman" w:cs="Times New Roman"/>
          <w:bCs/>
          <w:sz w:val="24"/>
          <w:szCs w:val="24"/>
        </w:rPr>
        <w:t>sobre esas mediciones).</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Los requerimientos sobre medición e información a revelar de esta NIIF no se aplicarán a los</w:t>
      </w:r>
      <w:r>
        <w:rPr>
          <w:rFonts w:ascii="Times New Roman" w:hAnsi="Times New Roman" w:cs="Times New Roman"/>
          <w:sz w:val="24"/>
          <w:szCs w:val="24"/>
        </w:rPr>
        <w:t xml:space="preserve"> </w:t>
      </w:r>
      <w:r w:rsidRPr="00F50C55">
        <w:rPr>
          <w:rFonts w:ascii="Times New Roman" w:hAnsi="Times New Roman" w:cs="Times New Roman"/>
          <w:sz w:val="24"/>
          <w:szCs w:val="24"/>
        </w:rPr>
        <w:t>elementos siguientes:</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(a) Transacciones con pagos basados en acciones que queden dentro del alcance.</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(b) transacciones de arrendamiento.</w:t>
      </w:r>
    </w:p>
    <w:p w:rsidR="006D5EB6" w:rsidRPr="00F50C55" w:rsidRDefault="006D5EB6" w:rsidP="006D5EB6">
      <w:pPr>
        <w:autoSpaceDE w:val="0"/>
        <w:autoSpaceDN w:val="0"/>
        <w:adjustRightInd w:val="0"/>
        <w:spacing w:after="0" w:line="360" w:lineRule="auto"/>
        <w:jc w:val="both"/>
        <w:rPr>
          <w:rFonts w:ascii="Times New Roman" w:hAnsi="Times New Roman" w:cs="Times New Roman"/>
          <w:sz w:val="24"/>
          <w:szCs w:val="24"/>
        </w:rPr>
      </w:pPr>
      <w:r w:rsidRPr="00F50C55">
        <w:rPr>
          <w:rFonts w:ascii="Times New Roman" w:hAnsi="Times New Roman" w:cs="Times New Roman"/>
          <w:sz w:val="24"/>
          <w:szCs w:val="24"/>
        </w:rPr>
        <w:t>(c) mediciones que tengan alguna similitud con el valor razonable pero que no sean valor razonable.</w:t>
      </w:r>
    </w:p>
    <w:p w:rsidR="006D5EB6" w:rsidRPr="00F50C55" w:rsidRDefault="006D5EB6" w:rsidP="006D5EB6">
      <w:pPr>
        <w:autoSpaceDE w:val="0"/>
        <w:autoSpaceDN w:val="0"/>
        <w:adjustRightInd w:val="0"/>
        <w:spacing w:after="0" w:line="360" w:lineRule="auto"/>
        <w:jc w:val="both"/>
        <w:rPr>
          <w:rFonts w:ascii="Times New Roman" w:hAnsi="Times New Roman" w:cs="Times New Roman"/>
          <w:b/>
          <w:sz w:val="24"/>
          <w:szCs w:val="24"/>
        </w:rPr>
      </w:pPr>
      <w:r w:rsidRPr="00F50C55">
        <w:rPr>
          <w:rFonts w:ascii="Times New Roman" w:hAnsi="Times New Roman" w:cs="Times New Roman"/>
          <w:b/>
          <w:sz w:val="24"/>
          <w:szCs w:val="24"/>
        </w:rPr>
        <w:t>Definición de valor razonable</w:t>
      </w:r>
    </w:p>
    <w:p w:rsidR="006D5EB6" w:rsidRDefault="006D5EB6" w:rsidP="006D5EB6">
      <w:pPr>
        <w:autoSpaceDE w:val="0"/>
        <w:autoSpaceDN w:val="0"/>
        <w:adjustRightInd w:val="0"/>
        <w:spacing w:after="0" w:line="360" w:lineRule="auto"/>
        <w:jc w:val="both"/>
        <w:rPr>
          <w:rFonts w:ascii="Times New Roman" w:hAnsi="Times New Roman" w:cs="Times New Roman"/>
          <w:bCs/>
          <w:sz w:val="24"/>
          <w:szCs w:val="24"/>
        </w:rPr>
      </w:pPr>
      <w:r w:rsidRPr="00F50C55">
        <w:rPr>
          <w:rFonts w:ascii="Times New Roman" w:hAnsi="Times New Roman" w:cs="Times New Roman"/>
          <w:bCs/>
          <w:sz w:val="24"/>
          <w:szCs w:val="24"/>
        </w:rPr>
        <w:t>Como el precio que sería recibido por vender un activo o</w:t>
      </w:r>
      <w:r>
        <w:rPr>
          <w:rFonts w:ascii="Times New Roman" w:hAnsi="Times New Roman" w:cs="Times New Roman"/>
          <w:bCs/>
          <w:sz w:val="24"/>
          <w:szCs w:val="24"/>
        </w:rPr>
        <w:t xml:space="preserve"> </w:t>
      </w:r>
      <w:r w:rsidRPr="00F50C55">
        <w:rPr>
          <w:rFonts w:ascii="Times New Roman" w:hAnsi="Times New Roman" w:cs="Times New Roman"/>
          <w:bCs/>
          <w:sz w:val="24"/>
          <w:szCs w:val="24"/>
        </w:rPr>
        <w:t>pagado por transferir un pasivo en una transacción ordenada entre participantes de</w:t>
      </w:r>
      <w:r>
        <w:rPr>
          <w:rFonts w:ascii="Times New Roman" w:hAnsi="Times New Roman" w:cs="Times New Roman"/>
          <w:bCs/>
          <w:sz w:val="24"/>
          <w:szCs w:val="24"/>
        </w:rPr>
        <w:t xml:space="preserve"> </w:t>
      </w:r>
      <w:r w:rsidRPr="00F50C55">
        <w:rPr>
          <w:rFonts w:ascii="Times New Roman" w:hAnsi="Times New Roman" w:cs="Times New Roman"/>
          <w:bCs/>
          <w:sz w:val="24"/>
          <w:szCs w:val="24"/>
        </w:rPr>
        <w:t>mercado en la fecha de la medición.</w:t>
      </w:r>
      <w:sdt>
        <w:sdtPr>
          <w:rPr>
            <w:rFonts w:ascii="Times New Roman" w:hAnsi="Times New Roman" w:cs="Times New Roman"/>
            <w:bCs/>
            <w:sz w:val="24"/>
            <w:szCs w:val="24"/>
          </w:rPr>
          <w:id w:val="6346373"/>
          <w:citation/>
        </w:sdtPr>
        <w:sdtContent>
          <w:r>
            <w:rPr>
              <w:rFonts w:ascii="Times New Roman" w:hAnsi="Times New Roman" w:cs="Times New Roman"/>
              <w:bCs/>
              <w:sz w:val="24"/>
              <w:szCs w:val="24"/>
            </w:rPr>
            <w:fldChar w:fldCharType="begin"/>
          </w:r>
          <w:r>
            <w:rPr>
              <w:rFonts w:ascii="Times New Roman" w:hAnsi="Times New Roman" w:cs="Times New Roman"/>
              <w:bCs/>
              <w:sz w:val="24"/>
              <w:szCs w:val="24"/>
            </w:rPr>
            <w:instrText xml:space="preserve"> CITATION Lic08 \l 12298 </w:instrText>
          </w:r>
          <w:r>
            <w:rPr>
              <w:rFonts w:ascii="Times New Roman" w:hAnsi="Times New Roman" w:cs="Times New Roman"/>
              <w:bCs/>
              <w:sz w:val="24"/>
              <w:szCs w:val="24"/>
            </w:rPr>
            <w:fldChar w:fldCharType="separate"/>
          </w:r>
          <w:r w:rsidRPr="00AA5C07">
            <w:rPr>
              <w:rFonts w:ascii="Times New Roman" w:hAnsi="Times New Roman" w:cs="Times New Roman"/>
              <w:noProof/>
              <w:sz w:val="24"/>
              <w:szCs w:val="24"/>
            </w:rPr>
            <w:t>(Zambrano, 2008)</w:t>
          </w:r>
          <w:r>
            <w:rPr>
              <w:rFonts w:ascii="Times New Roman" w:hAnsi="Times New Roman" w:cs="Times New Roman"/>
              <w:bCs/>
              <w:sz w:val="24"/>
              <w:szCs w:val="24"/>
            </w:rPr>
            <w:fldChar w:fldCharType="end"/>
          </w:r>
        </w:sdtContent>
      </w:sdt>
    </w:p>
    <w:p w:rsidR="006D5EB6" w:rsidRDefault="006D5EB6" w:rsidP="006D5EB6">
      <w:pPr>
        <w:spacing w:line="360" w:lineRule="auto"/>
        <w:jc w:val="both"/>
        <w:rPr>
          <w:rFonts w:ascii="Times New Roman" w:hAnsi="Times New Roman" w:cs="Times New Roman"/>
          <w:sz w:val="24"/>
          <w:szCs w:val="24"/>
        </w:rPr>
      </w:pPr>
      <w:r w:rsidRPr="00201371">
        <w:rPr>
          <w:rFonts w:ascii="Times New Roman" w:hAnsi="Times New Roman" w:cs="Times New Roman"/>
          <w:b/>
          <w:bCs/>
          <w:sz w:val="24"/>
          <w:szCs w:val="24"/>
        </w:rPr>
        <w:lastRenderedPageBreak/>
        <w:t>Según este autor:</w:t>
      </w:r>
      <w:r>
        <w:rPr>
          <w:rFonts w:ascii="Times New Roman" w:hAnsi="Times New Roman" w:cs="Times New Roman"/>
          <w:b/>
          <w:bCs/>
          <w:sz w:val="24"/>
          <w:szCs w:val="24"/>
        </w:rPr>
        <w:t xml:space="preserve"> </w:t>
      </w:r>
      <w:r>
        <w:rPr>
          <w:rFonts w:ascii="Times New Roman" w:hAnsi="Times New Roman" w:cs="Times New Roman"/>
          <w:sz w:val="24"/>
          <w:szCs w:val="24"/>
        </w:rPr>
        <w:t xml:space="preserve">el </w:t>
      </w:r>
      <w:r w:rsidRPr="009D07C4">
        <w:rPr>
          <w:rFonts w:ascii="Times New Roman" w:hAnsi="Times New Roman" w:cs="Times New Roman"/>
          <w:sz w:val="24"/>
          <w:szCs w:val="24"/>
        </w:rPr>
        <w:t xml:space="preserve">objetivo principal </w:t>
      </w:r>
      <w:r>
        <w:rPr>
          <w:rFonts w:ascii="Times New Roman" w:hAnsi="Times New Roman" w:cs="Times New Roman"/>
          <w:sz w:val="24"/>
          <w:szCs w:val="24"/>
        </w:rPr>
        <w:t>es que los</w:t>
      </w:r>
      <w:r w:rsidRPr="009D07C4">
        <w:rPr>
          <w:rFonts w:ascii="Times New Roman" w:hAnsi="Times New Roman" w:cs="Times New Roman"/>
          <w:sz w:val="24"/>
          <w:szCs w:val="24"/>
        </w:rPr>
        <w:t xml:space="preserve"> Estados Financieros revelen información que permitan a los usuarios evaluar su situación financiera y económica de la empresa y ayudar en el proceso de toma de decisiones. </w:t>
      </w:r>
    </w:p>
    <w:p w:rsidR="006D5EB6" w:rsidRDefault="006D5EB6" w:rsidP="006D5EB6">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Las NIIF se enfocan en que los primeros estados financieros sean presentados con calidad. Además s</w:t>
      </w:r>
      <w:r w:rsidRPr="00F50C55">
        <w:rPr>
          <w:rFonts w:ascii="Times New Roman" w:hAnsi="Times New Roman" w:cs="Times New Roman"/>
          <w:sz w:val="24"/>
          <w:szCs w:val="24"/>
        </w:rPr>
        <w:t>e requiere que la entidad refl</w:t>
      </w:r>
      <w:r>
        <w:rPr>
          <w:rFonts w:ascii="Times New Roman" w:hAnsi="Times New Roman" w:cs="Times New Roman"/>
          <w:sz w:val="24"/>
          <w:szCs w:val="24"/>
        </w:rPr>
        <w:t xml:space="preserve">eje en el resultado del periodo </w:t>
      </w:r>
      <w:r w:rsidRPr="00F50C55">
        <w:rPr>
          <w:rFonts w:ascii="Times New Roman" w:hAnsi="Times New Roman" w:cs="Times New Roman"/>
          <w:sz w:val="24"/>
          <w:szCs w:val="24"/>
        </w:rPr>
        <w:t>los efectos de las transacciones.</w:t>
      </w:r>
      <w:r>
        <w:rPr>
          <w:rFonts w:ascii="Times New Roman" w:hAnsi="Times New Roman" w:cs="Times New Roman"/>
          <w:sz w:val="24"/>
          <w:szCs w:val="24"/>
        </w:rPr>
        <w:t xml:space="preserve"> </w:t>
      </w:r>
      <w:r w:rsidRPr="00F50C55">
        <w:rPr>
          <w:rFonts w:ascii="Times New Roman" w:hAnsi="Times New Roman" w:cs="Times New Roman"/>
          <w:sz w:val="24"/>
          <w:szCs w:val="24"/>
        </w:rPr>
        <w:t xml:space="preserve">Especificar la información financiera que debe ofrecer, sobre los </w:t>
      </w:r>
      <w:r w:rsidRPr="00F50C55">
        <w:rPr>
          <w:rFonts w:ascii="Times New Roman" w:hAnsi="Times New Roman" w:cs="Times New Roman"/>
          <w:iCs/>
          <w:sz w:val="24"/>
          <w:szCs w:val="24"/>
        </w:rPr>
        <w:t>contratos de seguro</w:t>
      </w:r>
      <w:r w:rsidRPr="00F50C55">
        <w:rPr>
          <w:rFonts w:ascii="Times New Roman" w:hAnsi="Times New Roman" w:cs="Times New Roman"/>
          <w:sz w:val="24"/>
          <w:szCs w:val="24"/>
        </w:rPr>
        <w:t>, Especificar el tratamiento contable de los activos mantenidos para la venta</w:t>
      </w:r>
      <w:r>
        <w:rPr>
          <w:rFonts w:ascii="Times New Roman" w:hAnsi="Times New Roman" w:cs="Times New Roman"/>
          <w:sz w:val="24"/>
          <w:szCs w:val="24"/>
        </w:rPr>
        <w:t>. Pudiendo de  esta manera orientarnos a la toma de decisiones.</w:t>
      </w:r>
    </w:p>
    <w:p w:rsidR="006D5EB6" w:rsidRDefault="006D5EB6" w:rsidP="006D5EB6">
      <w:pPr>
        <w:autoSpaceDE w:val="0"/>
        <w:autoSpaceDN w:val="0"/>
        <w:adjustRightInd w:val="0"/>
        <w:spacing w:after="0" w:line="360" w:lineRule="auto"/>
        <w:jc w:val="both"/>
        <w:rPr>
          <w:rFonts w:ascii="Times New Roman" w:hAnsi="Times New Roman" w:cs="Times New Roman"/>
          <w:sz w:val="24"/>
          <w:szCs w:val="24"/>
        </w:rPr>
      </w:pPr>
    </w:p>
    <w:p w:rsidR="006D5EB6" w:rsidRDefault="006D5EB6" w:rsidP="006D5EB6">
      <w:pPr>
        <w:autoSpaceDE w:val="0"/>
        <w:autoSpaceDN w:val="0"/>
        <w:adjustRightInd w:val="0"/>
        <w:spacing w:after="0" w:line="360" w:lineRule="auto"/>
        <w:jc w:val="both"/>
        <w:rPr>
          <w:rFonts w:ascii="Times New Roman" w:hAnsi="Times New Roman" w:cs="Times New Roman"/>
          <w:sz w:val="24"/>
          <w:szCs w:val="24"/>
        </w:rPr>
      </w:pPr>
    </w:p>
    <w:p w:rsidR="006D5EB6" w:rsidRDefault="006D5EB6" w:rsidP="006D5EB6">
      <w:pPr>
        <w:autoSpaceDE w:val="0"/>
        <w:autoSpaceDN w:val="0"/>
        <w:adjustRightInd w:val="0"/>
        <w:spacing w:after="0" w:line="360" w:lineRule="auto"/>
        <w:jc w:val="both"/>
        <w:rPr>
          <w:rFonts w:ascii="Times New Roman" w:hAnsi="Times New Roman" w:cs="Times New Roman"/>
          <w:b/>
          <w:sz w:val="24"/>
          <w:szCs w:val="24"/>
        </w:rPr>
      </w:pPr>
      <w:r w:rsidRPr="00095C53">
        <w:rPr>
          <w:rFonts w:ascii="Times New Roman" w:hAnsi="Times New Roman" w:cs="Times New Roman"/>
          <w:b/>
          <w:sz w:val="24"/>
          <w:szCs w:val="24"/>
        </w:rPr>
        <w:t>CONCLUSIONES:</w:t>
      </w:r>
    </w:p>
    <w:p w:rsidR="006D5EB6" w:rsidRDefault="006D5EB6" w:rsidP="006D5EB6">
      <w:pPr>
        <w:autoSpaceDE w:val="0"/>
        <w:autoSpaceDN w:val="0"/>
        <w:adjustRightInd w:val="0"/>
        <w:spacing w:after="0" w:line="360" w:lineRule="auto"/>
        <w:jc w:val="both"/>
        <w:rPr>
          <w:rFonts w:ascii="Times New Roman" w:hAnsi="Times New Roman" w:cs="Times New Roman"/>
          <w:b/>
          <w:sz w:val="24"/>
          <w:szCs w:val="24"/>
        </w:rPr>
      </w:pPr>
    </w:p>
    <w:p w:rsidR="006D5EB6" w:rsidRPr="000339CC" w:rsidRDefault="006D5EB6" w:rsidP="00FA4FAF">
      <w:pPr>
        <w:pStyle w:val="Prrafodelista"/>
        <w:numPr>
          <w:ilvl w:val="0"/>
          <w:numId w:val="24"/>
        </w:numPr>
        <w:spacing w:line="360" w:lineRule="auto"/>
        <w:jc w:val="both"/>
        <w:rPr>
          <w:rFonts w:ascii="Times New Roman" w:hAnsi="Times New Roman" w:cs="Times New Roman"/>
          <w:sz w:val="24"/>
          <w:szCs w:val="24"/>
        </w:rPr>
      </w:pPr>
      <w:r w:rsidRPr="000339CC">
        <w:rPr>
          <w:rFonts w:ascii="Times New Roman" w:hAnsi="Times New Roman" w:cs="Times New Roman"/>
          <w:sz w:val="24"/>
          <w:szCs w:val="24"/>
        </w:rPr>
        <w:t xml:space="preserve">Que los Estados Financieros revelen información que permitan a los usuarios evaluar su situación financiera y económica de la empresa y ayudar en el proceso de toma de decisiones.  </w:t>
      </w:r>
    </w:p>
    <w:p w:rsidR="006D5EB6" w:rsidRPr="000339CC" w:rsidRDefault="006D5EB6" w:rsidP="00FA4FAF">
      <w:pPr>
        <w:pStyle w:val="Prrafodelista"/>
        <w:numPr>
          <w:ilvl w:val="0"/>
          <w:numId w:val="24"/>
        </w:numPr>
        <w:autoSpaceDE w:val="0"/>
        <w:autoSpaceDN w:val="0"/>
        <w:adjustRightInd w:val="0"/>
        <w:spacing w:after="0" w:line="360" w:lineRule="auto"/>
        <w:jc w:val="both"/>
        <w:rPr>
          <w:rFonts w:ascii="Times New Roman" w:hAnsi="Times New Roman" w:cs="Times New Roman"/>
          <w:sz w:val="24"/>
          <w:szCs w:val="24"/>
        </w:rPr>
      </w:pPr>
      <w:r w:rsidRPr="000339CC">
        <w:rPr>
          <w:rFonts w:ascii="Times New Roman" w:hAnsi="Times New Roman" w:cs="Times New Roman"/>
          <w:sz w:val="24"/>
          <w:szCs w:val="24"/>
        </w:rPr>
        <w:t xml:space="preserve">Mejora la relevancia, la fiabilidad y la comparabilidad de la información sobre </w:t>
      </w:r>
      <w:r w:rsidRPr="000339CC">
        <w:rPr>
          <w:rFonts w:ascii="Times New Roman" w:hAnsi="Times New Roman" w:cs="Times New Roman"/>
          <w:iCs/>
          <w:sz w:val="24"/>
          <w:szCs w:val="24"/>
        </w:rPr>
        <w:t xml:space="preserve">combinaciones de negocios </w:t>
      </w:r>
      <w:r w:rsidRPr="000339CC">
        <w:rPr>
          <w:rFonts w:ascii="Times New Roman" w:hAnsi="Times New Roman" w:cs="Times New Roman"/>
          <w:sz w:val="24"/>
          <w:szCs w:val="24"/>
        </w:rPr>
        <w:t xml:space="preserve">y sus efectos, que una entidad que informa proporciona a través de su estado financiero. </w:t>
      </w:r>
    </w:p>
    <w:p w:rsidR="006D5EB6" w:rsidRPr="000339CC" w:rsidRDefault="006D5EB6" w:rsidP="00FA4FAF">
      <w:pPr>
        <w:pStyle w:val="Prrafodelista"/>
        <w:numPr>
          <w:ilvl w:val="0"/>
          <w:numId w:val="24"/>
        </w:numPr>
        <w:autoSpaceDE w:val="0"/>
        <w:autoSpaceDN w:val="0"/>
        <w:adjustRightInd w:val="0"/>
        <w:spacing w:after="0" w:line="360" w:lineRule="auto"/>
        <w:jc w:val="both"/>
        <w:rPr>
          <w:rFonts w:ascii="Times New Roman" w:hAnsi="Times New Roman" w:cs="Times New Roman"/>
          <w:sz w:val="24"/>
          <w:szCs w:val="24"/>
        </w:rPr>
      </w:pPr>
      <w:r w:rsidRPr="000339CC">
        <w:rPr>
          <w:rFonts w:ascii="Times New Roman" w:hAnsi="Times New Roman" w:cs="Times New Roman"/>
          <w:sz w:val="24"/>
          <w:szCs w:val="24"/>
        </w:rPr>
        <w:t xml:space="preserve">Especifica la información financiera que ha de incluir una entidad cuando lleve a cabo una </w:t>
      </w:r>
      <w:r w:rsidRPr="000339CC">
        <w:rPr>
          <w:rFonts w:ascii="Times New Roman" w:hAnsi="Times New Roman" w:cs="Times New Roman"/>
          <w:iCs/>
          <w:sz w:val="24"/>
          <w:szCs w:val="24"/>
        </w:rPr>
        <w:t>transacción con pagos basados en acciones</w:t>
      </w:r>
    </w:p>
    <w:p w:rsidR="006D5EB6" w:rsidRPr="00095C53" w:rsidRDefault="006D5EB6" w:rsidP="006D5EB6">
      <w:pPr>
        <w:autoSpaceDE w:val="0"/>
        <w:autoSpaceDN w:val="0"/>
        <w:adjustRightInd w:val="0"/>
        <w:spacing w:after="0" w:line="360" w:lineRule="auto"/>
        <w:jc w:val="both"/>
        <w:rPr>
          <w:rFonts w:ascii="Times New Roman" w:hAnsi="Times New Roman" w:cs="Times New Roman"/>
          <w:sz w:val="24"/>
          <w:szCs w:val="24"/>
        </w:rPr>
      </w:pPr>
    </w:p>
    <w:p w:rsidR="006D5EB6" w:rsidRDefault="006D5EB6" w:rsidP="006D5EB6">
      <w:pPr>
        <w:autoSpaceDE w:val="0"/>
        <w:autoSpaceDN w:val="0"/>
        <w:adjustRightInd w:val="0"/>
        <w:spacing w:after="0" w:line="360" w:lineRule="auto"/>
        <w:jc w:val="both"/>
        <w:rPr>
          <w:rFonts w:ascii="Times New Roman" w:hAnsi="Times New Roman" w:cs="Times New Roman"/>
          <w:b/>
          <w:sz w:val="24"/>
          <w:szCs w:val="24"/>
        </w:rPr>
      </w:pPr>
      <w:r w:rsidRPr="00095C53">
        <w:rPr>
          <w:rFonts w:ascii="Times New Roman" w:hAnsi="Times New Roman" w:cs="Times New Roman"/>
          <w:b/>
          <w:sz w:val="24"/>
          <w:szCs w:val="24"/>
        </w:rPr>
        <w:t xml:space="preserve">RECOMENDACIONES: </w:t>
      </w:r>
    </w:p>
    <w:p w:rsidR="006D5EB6" w:rsidRDefault="006D5EB6" w:rsidP="006D5EB6">
      <w:pPr>
        <w:autoSpaceDE w:val="0"/>
        <w:autoSpaceDN w:val="0"/>
        <w:adjustRightInd w:val="0"/>
        <w:spacing w:after="0" w:line="360" w:lineRule="auto"/>
        <w:jc w:val="both"/>
        <w:rPr>
          <w:rFonts w:ascii="Times New Roman" w:hAnsi="Times New Roman" w:cs="Times New Roman"/>
          <w:b/>
          <w:sz w:val="24"/>
          <w:szCs w:val="24"/>
        </w:rPr>
      </w:pPr>
    </w:p>
    <w:p w:rsidR="006D5EB6" w:rsidRPr="00D116E3" w:rsidRDefault="006D5EB6" w:rsidP="00FA4FAF">
      <w:pPr>
        <w:pStyle w:val="Prrafodelista"/>
        <w:numPr>
          <w:ilvl w:val="0"/>
          <w:numId w:val="25"/>
        </w:numPr>
        <w:autoSpaceDE w:val="0"/>
        <w:autoSpaceDN w:val="0"/>
        <w:adjustRightInd w:val="0"/>
        <w:spacing w:after="0" w:line="360" w:lineRule="auto"/>
        <w:jc w:val="both"/>
        <w:rPr>
          <w:rFonts w:ascii="Times New Roman" w:hAnsi="Times New Roman" w:cs="Times New Roman"/>
          <w:b/>
          <w:sz w:val="24"/>
          <w:szCs w:val="24"/>
        </w:rPr>
      </w:pPr>
      <w:r w:rsidRPr="000339CC">
        <w:rPr>
          <w:rFonts w:ascii="Times New Roman" w:hAnsi="Times New Roman" w:cs="Times New Roman"/>
          <w:sz w:val="24"/>
          <w:szCs w:val="24"/>
        </w:rPr>
        <w:t>Es importante que las empresas puedan revelar una información concisa y de calidad para así tomar decisiones acordes a los problemas que se nos presenten.</w:t>
      </w:r>
    </w:p>
    <w:p w:rsidR="006D5EB6" w:rsidRPr="000339CC" w:rsidRDefault="006D5EB6" w:rsidP="00FA4FAF">
      <w:pPr>
        <w:pStyle w:val="Prrafodelista"/>
        <w:numPr>
          <w:ilvl w:val="0"/>
          <w:numId w:val="25"/>
        </w:numPr>
        <w:autoSpaceDE w:val="0"/>
        <w:autoSpaceDN w:val="0"/>
        <w:adjustRightInd w:val="0"/>
        <w:spacing w:after="0" w:line="360" w:lineRule="auto"/>
        <w:jc w:val="both"/>
        <w:rPr>
          <w:rFonts w:ascii="Times New Roman" w:hAnsi="Times New Roman" w:cs="Times New Roman"/>
          <w:sz w:val="24"/>
          <w:szCs w:val="24"/>
        </w:rPr>
      </w:pPr>
      <w:r w:rsidRPr="000339CC">
        <w:rPr>
          <w:rFonts w:ascii="Times New Roman" w:hAnsi="Times New Roman" w:cs="Times New Roman"/>
          <w:sz w:val="24"/>
          <w:szCs w:val="24"/>
        </w:rPr>
        <w:t>Se requiere que la entidad refleje en el resultado del periodo, los efectos de las transacciones con pagos basados en accione.</w:t>
      </w:r>
    </w:p>
    <w:p w:rsidR="006D5EB6" w:rsidRDefault="006D5EB6" w:rsidP="00FA4FAF">
      <w:pPr>
        <w:pStyle w:val="Prrafodelista"/>
        <w:numPr>
          <w:ilvl w:val="0"/>
          <w:numId w:val="25"/>
        </w:numPr>
        <w:autoSpaceDE w:val="0"/>
        <w:autoSpaceDN w:val="0"/>
        <w:adjustRightInd w:val="0"/>
        <w:spacing w:after="0" w:line="360" w:lineRule="auto"/>
        <w:jc w:val="both"/>
        <w:rPr>
          <w:rFonts w:ascii="Times New Roman" w:hAnsi="Times New Roman" w:cs="Times New Roman"/>
          <w:sz w:val="24"/>
          <w:szCs w:val="24"/>
        </w:rPr>
      </w:pPr>
      <w:r w:rsidRPr="000339CC">
        <w:rPr>
          <w:rFonts w:ascii="Times New Roman" w:hAnsi="Times New Roman" w:cs="Times New Roman"/>
          <w:sz w:val="24"/>
          <w:szCs w:val="24"/>
        </w:rPr>
        <w:t>Es muy importante que dentro de la empresa exista confianza entre los negocios para así tener la certeza de que la empresa está en buenas manos.</w:t>
      </w:r>
    </w:p>
    <w:p w:rsidR="006D5EB6" w:rsidRDefault="006D5EB6" w:rsidP="006D5EB6">
      <w:pPr>
        <w:rPr>
          <w:rFonts w:ascii="Times New Roman" w:hAnsi="Times New Roman" w:cs="Times New Roman"/>
          <w:sz w:val="52"/>
          <w:szCs w:val="52"/>
        </w:rPr>
      </w:pPr>
    </w:p>
    <w:p w:rsidR="006D5EB6" w:rsidRPr="00322A03" w:rsidRDefault="006D5EB6" w:rsidP="006D5EB6">
      <w:pPr>
        <w:jc w:val="center"/>
        <w:rPr>
          <w:rFonts w:ascii="Times New Roman" w:hAnsi="Times New Roman" w:cs="Times New Roman"/>
          <w:b/>
          <w:color w:val="7030A0"/>
          <w:sz w:val="24"/>
          <w:szCs w:val="24"/>
        </w:rPr>
      </w:pPr>
      <w:r w:rsidRPr="00322A03">
        <w:rPr>
          <w:rFonts w:ascii="Times New Roman" w:hAnsi="Times New Roman" w:cs="Times New Roman"/>
          <w:b/>
          <w:color w:val="7030A0"/>
          <w:sz w:val="24"/>
          <w:szCs w:val="24"/>
        </w:rPr>
        <w:lastRenderedPageBreak/>
        <w:t>ESTADOS FINANCIEROS</w:t>
      </w:r>
    </w:p>
    <w:tbl>
      <w:tblPr>
        <w:tblW w:w="7069" w:type="dxa"/>
        <w:tblInd w:w="70" w:type="dxa"/>
        <w:tblCellMar>
          <w:left w:w="70" w:type="dxa"/>
          <w:right w:w="70" w:type="dxa"/>
        </w:tblCellMar>
        <w:tblLook w:val="04A0"/>
      </w:tblPr>
      <w:tblGrid>
        <w:gridCol w:w="626"/>
        <w:gridCol w:w="1072"/>
        <w:gridCol w:w="1072"/>
        <w:gridCol w:w="2152"/>
        <w:gridCol w:w="1855"/>
        <w:gridCol w:w="146"/>
        <w:gridCol w:w="146"/>
      </w:tblGrid>
      <w:tr w:rsidR="006D5EB6" w:rsidRPr="00BE7C7C" w:rsidTr="006D5EB6">
        <w:trPr>
          <w:trHeight w:val="273"/>
        </w:trPr>
        <w:tc>
          <w:tcPr>
            <w:tcW w:w="626" w:type="dxa"/>
            <w:tcBorders>
              <w:top w:val="nil"/>
              <w:left w:val="nil"/>
              <w:bottom w:val="nil"/>
              <w:right w:val="nil"/>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p>
        </w:tc>
        <w:tc>
          <w:tcPr>
            <w:tcW w:w="6297" w:type="dxa"/>
            <w:gridSpan w:val="5"/>
            <w:tcBorders>
              <w:top w:val="nil"/>
              <w:left w:val="nil"/>
              <w:bottom w:val="nil"/>
              <w:right w:val="nil"/>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COOPERATIVA DE TAXIS "RÁPIDO NACIONAL"</w:t>
            </w:r>
          </w:p>
        </w:tc>
        <w:tc>
          <w:tcPr>
            <w:tcW w:w="146" w:type="dxa"/>
            <w:tcBorders>
              <w:top w:val="nil"/>
              <w:left w:val="nil"/>
              <w:bottom w:val="nil"/>
              <w:right w:val="nil"/>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p>
        </w:tc>
      </w:tr>
      <w:tr w:rsidR="006D5EB6" w:rsidRPr="00BE7C7C" w:rsidTr="006D5EB6">
        <w:trPr>
          <w:trHeight w:val="273"/>
        </w:trPr>
        <w:tc>
          <w:tcPr>
            <w:tcW w:w="626" w:type="dxa"/>
            <w:tcBorders>
              <w:top w:val="nil"/>
              <w:left w:val="nil"/>
              <w:bottom w:val="nil"/>
              <w:right w:val="nil"/>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p>
        </w:tc>
        <w:tc>
          <w:tcPr>
            <w:tcW w:w="4296" w:type="dxa"/>
            <w:gridSpan w:val="3"/>
            <w:tcBorders>
              <w:top w:val="nil"/>
              <w:left w:val="nil"/>
              <w:bottom w:val="nil"/>
              <w:right w:val="nil"/>
            </w:tcBorders>
            <w:shd w:val="clear" w:color="auto" w:fill="auto"/>
            <w:noWrap/>
            <w:vAlign w:val="bottom"/>
            <w:hideMark/>
          </w:tcPr>
          <w:p w:rsidR="006D5EB6" w:rsidRPr="00BE7C7C" w:rsidRDefault="006D5EB6" w:rsidP="006D5EB6">
            <w:pPr>
              <w:spacing w:after="0" w:line="240" w:lineRule="auto"/>
              <w:jc w:val="center"/>
              <w:rPr>
                <w:rFonts w:ascii="Calibri" w:eastAsia="Times New Roman" w:hAnsi="Calibri" w:cs="Calibri"/>
                <w:color w:val="000000"/>
                <w:lang w:eastAsia="es-EC"/>
              </w:rPr>
            </w:pPr>
            <w:r w:rsidRPr="00BE7C7C">
              <w:rPr>
                <w:rFonts w:ascii="Calibri" w:eastAsia="Times New Roman" w:hAnsi="Calibri" w:cs="Calibri"/>
                <w:color w:val="000000"/>
                <w:lang w:eastAsia="es-EC"/>
              </w:rPr>
              <w:t>AYACUCHO 276 Y OLMEDO</w:t>
            </w:r>
          </w:p>
        </w:tc>
        <w:tc>
          <w:tcPr>
            <w:tcW w:w="1855" w:type="dxa"/>
            <w:tcBorders>
              <w:top w:val="nil"/>
              <w:left w:val="nil"/>
              <w:bottom w:val="nil"/>
              <w:right w:val="nil"/>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p>
        </w:tc>
        <w:tc>
          <w:tcPr>
            <w:tcW w:w="146" w:type="dxa"/>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c>
          <w:tcPr>
            <w:tcW w:w="146" w:type="dxa"/>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r>
      <w:tr w:rsidR="006D5EB6" w:rsidRPr="00BE7C7C" w:rsidTr="006D5EB6">
        <w:trPr>
          <w:trHeight w:val="273"/>
        </w:trPr>
        <w:tc>
          <w:tcPr>
            <w:tcW w:w="626" w:type="dxa"/>
            <w:tcBorders>
              <w:top w:val="nil"/>
              <w:left w:val="nil"/>
              <w:bottom w:val="nil"/>
              <w:right w:val="nil"/>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p>
        </w:tc>
        <w:tc>
          <w:tcPr>
            <w:tcW w:w="4296" w:type="dxa"/>
            <w:gridSpan w:val="3"/>
            <w:tcBorders>
              <w:top w:val="nil"/>
              <w:left w:val="nil"/>
              <w:bottom w:val="nil"/>
              <w:right w:val="nil"/>
            </w:tcBorders>
            <w:shd w:val="clear" w:color="auto" w:fill="auto"/>
            <w:noWrap/>
            <w:vAlign w:val="bottom"/>
            <w:hideMark/>
          </w:tcPr>
          <w:p w:rsidR="006D5EB6" w:rsidRPr="00BE7C7C" w:rsidRDefault="006D5EB6" w:rsidP="006D5EB6">
            <w:pPr>
              <w:spacing w:after="0" w:line="240" w:lineRule="auto"/>
              <w:jc w:val="center"/>
              <w:rPr>
                <w:rFonts w:ascii="Calibri" w:eastAsia="Times New Roman" w:hAnsi="Calibri" w:cs="Calibri"/>
                <w:color w:val="000000"/>
                <w:lang w:eastAsia="es-EC"/>
              </w:rPr>
            </w:pPr>
            <w:r w:rsidRPr="00BE7C7C">
              <w:rPr>
                <w:rFonts w:ascii="Calibri" w:eastAsia="Times New Roman" w:hAnsi="Calibri" w:cs="Calibri"/>
                <w:color w:val="000000"/>
                <w:lang w:eastAsia="es-EC"/>
              </w:rPr>
              <w:t xml:space="preserve">BALANCE GENERAL </w:t>
            </w:r>
          </w:p>
        </w:tc>
        <w:tc>
          <w:tcPr>
            <w:tcW w:w="1855" w:type="dxa"/>
            <w:tcBorders>
              <w:top w:val="nil"/>
              <w:left w:val="nil"/>
              <w:bottom w:val="nil"/>
              <w:right w:val="nil"/>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p>
        </w:tc>
        <w:tc>
          <w:tcPr>
            <w:tcW w:w="146" w:type="dxa"/>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c>
          <w:tcPr>
            <w:tcW w:w="146" w:type="dxa"/>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r>
      <w:tr w:rsidR="006D5EB6" w:rsidRPr="00BE7C7C" w:rsidTr="006D5EB6">
        <w:trPr>
          <w:trHeight w:val="273"/>
        </w:trPr>
        <w:tc>
          <w:tcPr>
            <w:tcW w:w="626" w:type="dxa"/>
            <w:tcBorders>
              <w:top w:val="nil"/>
              <w:left w:val="nil"/>
              <w:right w:val="nil"/>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p>
        </w:tc>
        <w:tc>
          <w:tcPr>
            <w:tcW w:w="4296" w:type="dxa"/>
            <w:gridSpan w:val="3"/>
            <w:tcBorders>
              <w:top w:val="nil"/>
              <w:left w:val="nil"/>
              <w:right w:val="nil"/>
            </w:tcBorders>
            <w:shd w:val="clear" w:color="auto" w:fill="auto"/>
            <w:noWrap/>
            <w:vAlign w:val="bottom"/>
            <w:hideMark/>
          </w:tcPr>
          <w:p w:rsidR="006D5EB6" w:rsidRPr="00BE7C7C" w:rsidRDefault="006D5EB6" w:rsidP="006D5EB6">
            <w:pPr>
              <w:spacing w:after="0" w:line="240" w:lineRule="auto"/>
              <w:jc w:val="center"/>
              <w:rPr>
                <w:rFonts w:ascii="Calibri" w:eastAsia="Times New Roman" w:hAnsi="Calibri" w:cs="Calibri"/>
                <w:color w:val="000000"/>
                <w:lang w:eastAsia="es-EC"/>
              </w:rPr>
            </w:pPr>
            <w:r w:rsidRPr="00BE7C7C">
              <w:rPr>
                <w:rFonts w:ascii="Calibri" w:eastAsia="Times New Roman" w:hAnsi="Calibri" w:cs="Calibri"/>
                <w:color w:val="000000"/>
                <w:lang w:eastAsia="es-EC"/>
              </w:rPr>
              <w:t>Desde 01-01-2011 Hasta 31-12-2011</w:t>
            </w:r>
          </w:p>
        </w:tc>
        <w:tc>
          <w:tcPr>
            <w:tcW w:w="1855" w:type="dxa"/>
            <w:tcBorders>
              <w:top w:val="nil"/>
              <w:left w:val="nil"/>
              <w:right w:val="nil"/>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p>
        </w:tc>
        <w:tc>
          <w:tcPr>
            <w:tcW w:w="146" w:type="dxa"/>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c>
          <w:tcPr>
            <w:tcW w:w="146" w:type="dxa"/>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r>
      <w:tr w:rsidR="006D5EB6" w:rsidRPr="00BE7C7C" w:rsidTr="006D5EB6">
        <w:trPr>
          <w:trHeight w:val="273"/>
        </w:trPr>
        <w:tc>
          <w:tcPr>
            <w:tcW w:w="626" w:type="dxa"/>
            <w:tcBorders>
              <w:bottom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p>
        </w:tc>
        <w:tc>
          <w:tcPr>
            <w:tcW w:w="1072" w:type="dxa"/>
            <w:tcBorders>
              <w:bottom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p>
        </w:tc>
        <w:tc>
          <w:tcPr>
            <w:tcW w:w="1072" w:type="dxa"/>
            <w:tcBorders>
              <w:bottom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p>
        </w:tc>
        <w:tc>
          <w:tcPr>
            <w:tcW w:w="2152" w:type="dxa"/>
            <w:tcBorders>
              <w:bottom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p>
        </w:tc>
        <w:tc>
          <w:tcPr>
            <w:tcW w:w="1855" w:type="dxa"/>
            <w:tcBorders>
              <w:bottom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p>
        </w:tc>
        <w:tc>
          <w:tcPr>
            <w:tcW w:w="146" w:type="dxa"/>
            <w:tcBorders>
              <w:left w:val="nil"/>
            </w:tcBorders>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c>
          <w:tcPr>
            <w:tcW w:w="146" w:type="dxa"/>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r>
      <w:tr w:rsidR="006D5EB6" w:rsidRPr="00BE7C7C" w:rsidTr="006D5EB6">
        <w:trPr>
          <w:trHeight w:val="273"/>
        </w:trPr>
        <w:tc>
          <w:tcPr>
            <w:tcW w:w="2770" w:type="dxa"/>
            <w:gridSpan w:val="3"/>
            <w:vMerge w:val="restart"/>
            <w:tcBorders>
              <w:top w:val="single" w:sz="4" w:space="0" w:color="7030A0"/>
              <w:left w:val="single" w:sz="4" w:space="0" w:color="7030A0"/>
              <w:bottom w:val="single" w:sz="4" w:space="0" w:color="7030A0"/>
              <w:right w:val="single" w:sz="4" w:space="0" w:color="7030A0"/>
            </w:tcBorders>
            <w:shd w:val="clear" w:color="auto" w:fill="auto"/>
            <w:noWrap/>
            <w:vAlign w:val="center"/>
            <w:hideMark/>
          </w:tcPr>
          <w:p w:rsidR="006D5EB6" w:rsidRPr="00BE7C7C" w:rsidRDefault="006D5EB6" w:rsidP="006D5EB6">
            <w:pPr>
              <w:spacing w:after="0" w:line="240" w:lineRule="auto"/>
              <w:jc w:val="center"/>
              <w:rPr>
                <w:rFonts w:ascii="Calibri" w:eastAsia="Times New Roman" w:hAnsi="Calibri" w:cs="Calibri"/>
                <w:b/>
                <w:bCs/>
                <w:color w:val="376091"/>
                <w:lang w:eastAsia="es-EC"/>
              </w:rPr>
            </w:pPr>
            <w:r w:rsidRPr="00BE7C7C">
              <w:rPr>
                <w:rFonts w:ascii="Calibri" w:eastAsia="Times New Roman" w:hAnsi="Calibri" w:cs="Calibri"/>
                <w:b/>
                <w:bCs/>
                <w:color w:val="376091"/>
                <w:lang w:eastAsia="es-EC"/>
              </w:rPr>
              <w:t>Descripción de la Cuenta</w:t>
            </w:r>
          </w:p>
        </w:tc>
        <w:tc>
          <w:tcPr>
            <w:tcW w:w="2152" w:type="dxa"/>
            <w:vMerge w:val="restart"/>
            <w:tcBorders>
              <w:top w:val="single" w:sz="4" w:space="0" w:color="7030A0"/>
              <w:left w:val="single" w:sz="4" w:space="0" w:color="7030A0"/>
              <w:bottom w:val="single" w:sz="4" w:space="0" w:color="7030A0"/>
              <w:right w:val="single" w:sz="4" w:space="0" w:color="7030A0"/>
            </w:tcBorders>
            <w:shd w:val="clear" w:color="auto" w:fill="auto"/>
            <w:noWrap/>
            <w:vAlign w:val="center"/>
            <w:hideMark/>
          </w:tcPr>
          <w:p w:rsidR="006D5EB6" w:rsidRPr="00BE7C7C" w:rsidRDefault="006D5EB6" w:rsidP="006D5EB6">
            <w:pPr>
              <w:spacing w:after="0" w:line="240" w:lineRule="auto"/>
              <w:jc w:val="center"/>
              <w:rPr>
                <w:rFonts w:ascii="Calibri" w:eastAsia="Times New Roman" w:hAnsi="Calibri" w:cs="Calibri"/>
                <w:b/>
                <w:bCs/>
                <w:color w:val="376091"/>
                <w:lang w:eastAsia="es-EC"/>
              </w:rPr>
            </w:pPr>
            <w:r w:rsidRPr="00BE7C7C">
              <w:rPr>
                <w:rFonts w:ascii="Calibri" w:eastAsia="Times New Roman" w:hAnsi="Calibri" w:cs="Calibri"/>
                <w:b/>
                <w:bCs/>
                <w:color w:val="376091"/>
                <w:lang w:eastAsia="es-EC"/>
              </w:rPr>
              <w:t>2011</w:t>
            </w:r>
          </w:p>
        </w:tc>
        <w:tc>
          <w:tcPr>
            <w:tcW w:w="1855" w:type="dxa"/>
            <w:vMerge w:val="restart"/>
            <w:tcBorders>
              <w:top w:val="single" w:sz="4" w:space="0" w:color="7030A0"/>
              <w:left w:val="single" w:sz="4" w:space="0" w:color="7030A0"/>
              <w:bottom w:val="single" w:sz="4" w:space="0" w:color="7030A0"/>
              <w:right w:val="single" w:sz="4" w:space="0" w:color="7030A0"/>
            </w:tcBorders>
            <w:shd w:val="clear" w:color="auto" w:fill="auto"/>
            <w:noWrap/>
            <w:vAlign w:val="center"/>
            <w:hideMark/>
          </w:tcPr>
          <w:p w:rsidR="006D5EB6" w:rsidRPr="00BE7C7C" w:rsidRDefault="006D5EB6" w:rsidP="006D5EB6">
            <w:pPr>
              <w:spacing w:after="0" w:line="240" w:lineRule="auto"/>
              <w:jc w:val="center"/>
              <w:rPr>
                <w:rFonts w:ascii="Calibri" w:eastAsia="Times New Roman" w:hAnsi="Calibri" w:cs="Calibri"/>
                <w:b/>
                <w:bCs/>
                <w:color w:val="376091"/>
                <w:lang w:eastAsia="es-EC"/>
              </w:rPr>
            </w:pPr>
            <w:r w:rsidRPr="00BE7C7C">
              <w:rPr>
                <w:rFonts w:ascii="Calibri" w:eastAsia="Times New Roman" w:hAnsi="Calibri" w:cs="Calibri"/>
                <w:b/>
                <w:bCs/>
                <w:color w:val="376091"/>
                <w:lang w:eastAsia="es-EC"/>
              </w:rPr>
              <w:t>Método Vertical</w:t>
            </w:r>
          </w:p>
        </w:tc>
        <w:tc>
          <w:tcPr>
            <w:tcW w:w="146" w:type="dxa"/>
            <w:tcBorders>
              <w:left w:val="single" w:sz="4" w:space="0" w:color="7030A0"/>
            </w:tcBorders>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c>
          <w:tcPr>
            <w:tcW w:w="146" w:type="dxa"/>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r>
      <w:tr w:rsidR="006D5EB6" w:rsidRPr="00BE7C7C" w:rsidTr="006D5EB6">
        <w:trPr>
          <w:trHeight w:val="273"/>
        </w:trPr>
        <w:tc>
          <w:tcPr>
            <w:tcW w:w="2770" w:type="dxa"/>
            <w:gridSpan w:val="3"/>
            <w:vMerge/>
            <w:tcBorders>
              <w:top w:val="single" w:sz="4" w:space="0" w:color="7030A0"/>
              <w:left w:val="single" w:sz="4" w:space="0" w:color="7030A0"/>
              <w:bottom w:val="single" w:sz="4" w:space="0" w:color="7030A0"/>
              <w:right w:val="single" w:sz="4" w:space="0" w:color="7030A0"/>
            </w:tcBorders>
            <w:vAlign w:val="center"/>
            <w:hideMark/>
          </w:tcPr>
          <w:p w:rsidR="006D5EB6" w:rsidRPr="00BE7C7C" w:rsidRDefault="006D5EB6" w:rsidP="006D5EB6">
            <w:pPr>
              <w:spacing w:after="0" w:line="240" w:lineRule="auto"/>
              <w:rPr>
                <w:rFonts w:ascii="Calibri" w:eastAsia="Times New Roman" w:hAnsi="Calibri" w:cs="Calibri"/>
                <w:b/>
                <w:bCs/>
                <w:color w:val="376091"/>
                <w:lang w:eastAsia="es-EC"/>
              </w:rPr>
            </w:pPr>
          </w:p>
        </w:tc>
        <w:tc>
          <w:tcPr>
            <w:tcW w:w="2152" w:type="dxa"/>
            <w:vMerge/>
            <w:tcBorders>
              <w:top w:val="single" w:sz="4" w:space="0" w:color="7030A0"/>
              <w:left w:val="single" w:sz="4" w:space="0" w:color="7030A0"/>
              <w:bottom w:val="single" w:sz="4" w:space="0" w:color="7030A0"/>
              <w:right w:val="single" w:sz="4" w:space="0" w:color="7030A0"/>
            </w:tcBorders>
            <w:vAlign w:val="center"/>
            <w:hideMark/>
          </w:tcPr>
          <w:p w:rsidR="006D5EB6" w:rsidRPr="00BE7C7C" w:rsidRDefault="006D5EB6" w:rsidP="006D5EB6">
            <w:pPr>
              <w:spacing w:after="0" w:line="240" w:lineRule="auto"/>
              <w:rPr>
                <w:rFonts w:ascii="Calibri" w:eastAsia="Times New Roman" w:hAnsi="Calibri" w:cs="Calibri"/>
                <w:b/>
                <w:bCs/>
                <w:color w:val="376091"/>
                <w:lang w:eastAsia="es-EC"/>
              </w:rPr>
            </w:pPr>
          </w:p>
        </w:tc>
        <w:tc>
          <w:tcPr>
            <w:tcW w:w="1855" w:type="dxa"/>
            <w:vMerge/>
            <w:tcBorders>
              <w:top w:val="single" w:sz="4" w:space="0" w:color="7030A0"/>
              <w:left w:val="single" w:sz="4" w:space="0" w:color="7030A0"/>
              <w:bottom w:val="single" w:sz="4" w:space="0" w:color="7030A0"/>
              <w:right w:val="single" w:sz="4" w:space="0" w:color="7030A0"/>
            </w:tcBorders>
            <w:vAlign w:val="center"/>
            <w:hideMark/>
          </w:tcPr>
          <w:p w:rsidR="006D5EB6" w:rsidRPr="00BE7C7C" w:rsidRDefault="006D5EB6" w:rsidP="006D5EB6">
            <w:pPr>
              <w:spacing w:after="0" w:line="240" w:lineRule="auto"/>
              <w:rPr>
                <w:rFonts w:ascii="Calibri" w:eastAsia="Times New Roman" w:hAnsi="Calibri" w:cs="Calibri"/>
                <w:b/>
                <w:bCs/>
                <w:color w:val="376091"/>
                <w:lang w:eastAsia="es-EC"/>
              </w:rPr>
            </w:pPr>
          </w:p>
        </w:tc>
        <w:tc>
          <w:tcPr>
            <w:tcW w:w="146" w:type="dxa"/>
            <w:tcBorders>
              <w:top w:val="nil"/>
              <w:left w:val="single" w:sz="4" w:space="0" w:color="7030A0"/>
              <w:bottom w:val="nil"/>
              <w:right w:val="nil"/>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p>
        </w:tc>
        <w:tc>
          <w:tcPr>
            <w:tcW w:w="146" w:type="dxa"/>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r>
      <w:tr w:rsidR="006D5EB6" w:rsidRPr="00BE7C7C" w:rsidTr="006D5EB6">
        <w:trPr>
          <w:trHeight w:val="273"/>
        </w:trPr>
        <w:tc>
          <w:tcPr>
            <w:tcW w:w="2770" w:type="dxa"/>
            <w:gridSpan w:val="3"/>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b/>
                <w:bCs/>
                <w:color w:val="000000"/>
                <w:lang w:eastAsia="es-EC"/>
              </w:rPr>
            </w:pPr>
            <w:r w:rsidRPr="00BE7C7C">
              <w:rPr>
                <w:rFonts w:ascii="Calibri" w:eastAsia="Times New Roman" w:hAnsi="Calibri" w:cs="Calibri"/>
                <w:b/>
                <w:bCs/>
                <w:color w:val="000000"/>
                <w:lang w:eastAsia="es-EC"/>
              </w:rPr>
              <w:t>ACTIVOS</w:t>
            </w:r>
          </w:p>
        </w:tc>
        <w:tc>
          <w:tcPr>
            <w:tcW w:w="2152"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 </w:t>
            </w:r>
          </w:p>
        </w:tc>
        <w:tc>
          <w:tcPr>
            <w:tcW w:w="1855"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 </w:t>
            </w:r>
          </w:p>
        </w:tc>
        <w:tc>
          <w:tcPr>
            <w:tcW w:w="146" w:type="dxa"/>
            <w:tcBorders>
              <w:left w:val="single" w:sz="4" w:space="0" w:color="7030A0"/>
            </w:tcBorders>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c>
          <w:tcPr>
            <w:tcW w:w="146" w:type="dxa"/>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r>
      <w:tr w:rsidR="006D5EB6" w:rsidRPr="00BE7C7C" w:rsidTr="006D5EB6">
        <w:trPr>
          <w:trHeight w:val="273"/>
        </w:trPr>
        <w:tc>
          <w:tcPr>
            <w:tcW w:w="2770" w:type="dxa"/>
            <w:gridSpan w:val="3"/>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b/>
                <w:bCs/>
                <w:color w:val="8064A2"/>
                <w:lang w:eastAsia="es-EC"/>
              </w:rPr>
            </w:pPr>
            <w:r w:rsidRPr="00BE7C7C">
              <w:rPr>
                <w:rFonts w:ascii="Calibri" w:eastAsia="Times New Roman" w:hAnsi="Calibri" w:cs="Calibri"/>
                <w:b/>
                <w:bCs/>
                <w:color w:val="8064A2"/>
                <w:lang w:eastAsia="es-EC"/>
              </w:rPr>
              <w:t>ACTIVOS CORRIENTES</w:t>
            </w:r>
          </w:p>
        </w:tc>
        <w:tc>
          <w:tcPr>
            <w:tcW w:w="2152"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000000"/>
                <w:lang w:eastAsia="es-EC"/>
              </w:rPr>
            </w:pPr>
            <w:r w:rsidRPr="00BE7C7C">
              <w:rPr>
                <w:rFonts w:ascii="Calibri" w:eastAsia="Times New Roman" w:hAnsi="Calibri" w:cs="Calibri"/>
                <w:color w:val="000000"/>
                <w:lang w:eastAsia="es-EC"/>
              </w:rPr>
              <w:t>177.303,31</w:t>
            </w:r>
          </w:p>
        </w:tc>
        <w:tc>
          <w:tcPr>
            <w:tcW w:w="1855"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 </w:t>
            </w:r>
          </w:p>
        </w:tc>
        <w:tc>
          <w:tcPr>
            <w:tcW w:w="146" w:type="dxa"/>
            <w:tcBorders>
              <w:left w:val="single" w:sz="4" w:space="0" w:color="7030A0"/>
            </w:tcBorders>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c>
          <w:tcPr>
            <w:tcW w:w="146" w:type="dxa"/>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r>
      <w:tr w:rsidR="006D5EB6" w:rsidRPr="00BE7C7C" w:rsidTr="006D5EB6">
        <w:trPr>
          <w:trHeight w:val="273"/>
        </w:trPr>
        <w:tc>
          <w:tcPr>
            <w:tcW w:w="2770" w:type="dxa"/>
            <w:gridSpan w:val="3"/>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DISPONIBLES</w:t>
            </w:r>
          </w:p>
        </w:tc>
        <w:tc>
          <w:tcPr>
            <w:tcW w:w="2152"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 </w:t>
            </w:r>
          </w:p>
        </w:tc>
        <w:tc>
          <w:tcPr>
            <w:tcW w:w="1855"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 </w:t>
            </w:r>
          </w:p>
        </w:tc>
        <w:tc>
          <w:tcPr>
            <w:tcW w:w="146" w:type="dxa"/>
            <w:tcBorders>
              <w:left w:val="single" w:sz="4" w:space="0" w:color="7030A0"/>
            </w:tcBorders>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c>
          <w:tcPr>
            <w:tcW w:w="146" w:type="dxa"/>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r>
      <w:tr w:rsidR="006D5EB6" w:rsidRPr="00BE7C7C" w:rsidTr="006D5EB6">
        <w:trPr>
          <w:trHeight w:val="273"/>
        </w:trPr>
        <w:tc>
          <w:tcPr>
            <w:tcW w:w="2770" w:type="dxa"/>
            <w:gridSpan w:val="3"/>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Caja</w:t>
            </w:r>
          </w:p>
        </w:tc>
        <w:tc>
          <w:tcPr>
            <w:tcW w:w="2152"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000000"/>
                <w:lang w:eastAsia="es-EC"/>
              </w:rPr>
            </w:pPr>
            <w:r w:rsidRPr="00BE7C7C">
              <w:rPr>
                <w:rFonts w:ascii="Calibri" w:eastAsia="Times New Roman" w:hAnsi="Calibri" w:cs="Calibri"/>
                <w:color w:val="000000"/>
                <w:lang w:eastAsia="es-EC"/>
              </w:rPr>
              <w:t>0</w:t>
            </w:r>
          </w:p>
        </w:tc>
        <w:tc>
          <w:tcPr>
            <w:tcW w:w="1855"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FF33CC"/>
                <w:lang w:eastAsia="es-EC"/>
              </w:rPr>
            </w:pPr>
            <w:r w:rsidRPr="00BE7C7C">
              <w:rPr>
                <w:rFonts w:ascii="Calibri" w:eastAsia="Times New Roman" w:hAnsi="Calibri" w:cs="Calibri"/>
                <w:color w:val="FF33CC"/>
                <w:lang w:eastAsia="es-EC"/>
              </w:rPr>
              <w:t>0</w:t>
            </w:r>
          </w:p>
        </w:tc>
        <w:tc>
          <w:tcPr>
            <w:tcW w:w="146" w:type="dxa"/>
            <w:tcBorders>
              <w:left w:val="single" w:sz="4" w:space="0" w:color="7030A0"/>
            </w:tcBorders>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c>
          <w:tcPr>
            <w:tcW w:w="146" w:type="dxa"/>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r>
      <w:tr w:rsidR="006D5EB6" w:rsidRPr="00BE7C7C" w:rsidTr="006D5EB6">
        <w:trPr>
          <w:trHeight w:val="273"/>
        </w:trPr>
        <w:tc>
          <w:tcPr>
            <w:tcW w:w="2770" w:type="dxa"/>
            <w:gridSpan w:val="3"/>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Banco</w:t>
            </w:r>
          </w:p>
        </w:tc>
        <w:tc>
          <w:tcPr>
            <w:tcW w:w="2152"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000000"/>
                <w:lang w:eastAsia="es-EC"/>
              </w:rPr>
            </w:pPr>
            <w:r w:rsidRPr="00BE7C7C">
              <w:rPr>
                <w:rFonts w:ascii="Calibri" w:eastAsia="Times New Roman" w:hAnsi="Calibri" w:cs="Calibri"/>
                <w:color w:val="000000"/>
                <w:lang w:eastAsia="es-EC"/>
              </w:rPr>
              <w:t>27.568,33</w:t>
            </w:r>
          </w:p>
        </w:tc>
        <w:tc>
          <w:tcPr>
            <w:tcW w:w="1855"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FF33CC"/>
                <w:lang w:eastAsia="es-EC"/>
              </w:rPr>
            </w:pPr>
            <w:r w:rsidRPr="00BE7C7C">
              <w:rPr>
                <w:rFonts w:ascii="Calibri" w:eastAsia="Times New Roman" w:hAnsi="Calibri" w:cs="Calibri"/>
                <w:color w:val="FF33CC"/>
                <w:lang w:eastAsia="es-EC"/>
              </w:rPr>
              <w:t>5,86</w:t>
            </w:r>
          </w:p>
        </w:tc>
        <w:tc>
          <w:tcPr>
            <w:tcW w:w="146" w:type="dxa"/>
            <w:tcBorders>
              <w:left w:val="single" w:sz="4" w:space="0" w:color="7030A0"/>
            </w:tcBorders>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c>
          <w:tcPr>
            <w:tcW w:w="146" w:type="dxa"/>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r>
      <w:tr w:rsidR="006D5EB6" w:rsidRPr="00BE7C7C" w:rsidTr="006D5EB6">
        <w:trPr>
          <w:trHeight w:val="273"/>
        </w:trPr>
        <w:tc>
          <w:tcPr>
            <w:tcW w:w="2770" w:type="dxa"/>
            <w:gridSpan w:val="3"/>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EXIGIBLES</w:t>
            </w:r>
          </w:p>
        </w:tc>
        <w:tc>
          <w:tcPr>
            <w:tcW w:w="2152"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 </w:t>
            </w:r>
          </w:p>
        </w:tc>
        <w:tc>
          <w:tcPr>
            <w:tcW w:w="1855"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FF33CC"/>
                <w:lang w:eastAsia="es-EC"/>
              </w:rPr>
            </w:pPr>
            <w:r w:rsidRPr="00BE7C7C">
              <w:rPr>
                <w:rFonts w:ascii="Calibri" w:eastAsia="Times New Roman" w:hAnsi="Calibri" w:cs="Calibri"/>
                <w:color w:val="FF33CC"/>
                <w:lang w:eastAsia="es-EC"/>
              </w:rPr>
              <w:t> </w:t>
            </w:r>
          </w:p>
        </w:tc>
        <w:tc>
          <w:tcPr>
            <w:tcW w:w="146" w:type="dxa"/>
            <w:tcBorders>
              <w:left w:val="single" w:sz="4" w:space="0" w:color="7030A0"/>
            </w:tcBorders>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c>
          <w:tcPr>
            <w:tcW w:w="146" w:type="dxa"/>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r>
      <w:tr w:rsidR="006D5EB6" w:rsidRPr="00BE7C7C" w:rsidTr="006D5EB6">
        <w:trPr>
          <w:trHeight w:val="273"/>
        </w:trPr>
        <w:tc>
          <w:tcPr>
            <w:tcW w:w="2770" w:type="dxa"/>
            <w:gridSpan w:val="3"/>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Cuentas por Cobrar</w:t>
            </w:r>
          </w:p>
        </w:tc>
        <w:tc>
          <w:tcPr>
            <w:tcW w:w="2152"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000000"/>
                <w:lang w:eastAsia="es-EC"/>
              </w:rPr>
            </w:pPr>
            <w:r w:rsidRPr="00BE7C7C">
              <w:rPr>
                <w:rFonts w:ascii="Calibri" w:eastAsia="Times New Roman" w:hAnsi="Calibri" w:cs="Calibri"/>
                <w:color w:val="000000"/>
                <w:lang w:eastAsia="es-EC"/>
              </w:rPr>
              <w:t>2.184,00</w:t>
            </w:r>
          </w:p>
        </w:tc>
        <w:tc>
          <w:tcPr>
            <w:tcW w:w="1855"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FF33CC"/>
                <w:lang w:eastAsia="es-EC"/>
              </w:rPr>
            </w:pPr>
            <w:r w:rsidRPr="00BE7C7C">
              <w:rPr>
                <w:rFonts w:ascii="Calibri" w:eastAsia="Times New Roman" w:hAnsi="Calibri" w:cs="Calibri"/>
                <w:color w:val="FF33CC"/>
                <w:lang w:eastAsia="es-EC"/>
              </w:rPr>
              <w:t>0,46</w:t>
            </w:r>
          </w:p>
        </w:tc>
        <w:tc>
          <w:tcPr>
            <w:tcW w:w="146" w:type="dxa"/>
            <w:tcBorders>
              <w:left w:val="single" w:sz="4" w:space="0" w:color="7030A0"/>
            </w:tcBorders>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c>
          <w:tcPr>
            <w:tcW w:w="146" w:type="dxa"/>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r>
      <w:tr w:rsidR="006D5EB6" w:rsidRPr="00BE7C7C" w:rsidTr="006D5EB6">
        <w:trPr>
          <w:trHeight w:val="273"/>
        </w:trPr>
        <w:tc>
          <w:tcPr>
            <w:tcW w:w="2770" w:type="dxa"/>
            <w:gridSpan w:val="3"/>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Préstamos a Socios</w:t>
            </w:r>
          </w:p>
        </w:tc>
        <w:tc>
          <w:tcPr>
            <w:tcW w:w="2152"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000000"/>
                <w:lang w:eastAsia="es-EC"/>
              </w:rPr>
            </w:pPr>
            <w:r w:rsidRPr="00BE7C7C">
              <w:rPr>
                <w:rFonts w:ascii="Calibri" w:eastAsia="Times New Roman" w:hAnsi="Calibri" w:cs="Calibri"/>
                <w:color w:val="000000"/>
                <w:lang w:eastAsia="es-EC"/>
              </w:rPr>
              <w:t>128.171,16</w:t>
            </w:r>
          </w:p>
        </w:tc>
        <w:tc>
          <w:tcPr>
            <w:tcW w:w="1855"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FF33CC"/>
                <w:lang w:eastAsia="es-EC"/>
              </w:rPr>
            </w:pPr>
            <w:r w:rsidRPr="00BE7C7C">
              <w:rPr>
                <w:rFonts w:ascii="Calibri" w:eastAsia="Times New Roman" w:hAnsi="Calibri" w:cs="Calibri"/>
                <w:color w:val="FF33CC"/>
                <w:lang w:eastAsia="es-EC"/>
              </w:rPr>
              <w:t>27,23</w:t>
            </w:r>
          </w:p>
        </w:tc>
        <w:tc>
          <w:tcPr>
            <w:tcW w:w="146" w:type="dxa"/>
            <w:tcBorders>
              <w:left w:val="single" w:sz="4" w:space="0" w:color="7030A0"/>
            </w:tcBorders>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c>
          <w:tcPr>
            <w:tcW w:w="146" w:type="dxa"/>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r>
              <w:rPr>
                <w:rFonts w:ascii="Times New Roman" w:eastAsia="Times New Roman" w:hAnsi="Times New Roman" w:cs="Times New Roman"/>
                <w:noProof/>
                <w:sz w:val="20"/>
                <w:szCs w:val="20"/>
                <w:lang w:eastAsia="es-EC"/>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30" type="#_x0000_t106" style="position:absolute;margin-left:-3.4pt;margin-top:.2pt;width:109pt;height:63.55pt;z-index:251667456;mso-position-horizontal-relative:text;mso-position-vertical-relative:text" adj="4736,32680" strokecolor="#7030a0">
                  <v:textbox>
                    <w:txbxContent>
                      <w:p w:rsidR="006D5EB6" w:rsidRDefault="006D5EB6" w:rsidP="006D5EB6">
                        <w:r>
                          <w:t>ESTRUCTURA ECONÓMICA</w:t>
                        </w:r>
                      </w:p>
                    </w:txbxContent>
                  </v:textbox>
                </v:shape>
              </w:pict>
            </w:r>
          </w:p>
        </w:tc>
      </w:tr>
      <w:tr w:rsidR="006D5EB6" w:rsidRPr="00BE7C7C" w:rsidTr="006D5EB6">
        <w:trPr>
          <w:trHeight w:val="273"/>
        </w:trPr>
        <w:tc>
          <w:tcPr>
            <w:tcW w:w="2770" w:type="dxa"/>
            <w:gridSpan w:val="3"/>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REALIZABLES</w:t>
            </w:r>
          </w:p>
        </w:tc>
        <w:tc>
          <w:tcPr>
            <w:tcW w:w="2152"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 </w:t>
            </w:r>
          </w:p>
        </w:tc>
        <w:tc>
          <w:tcPr>
            <w:tcW w:w="1855"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FF33CC"/>
                <w:lang w:eastAsia="es-EC"/>
              </w:rPr>
            </w:pPr>
            <w:r w:rsidRPr="00BE7C7C">
              <w:rPr>
                <w:rFonts w:ascii="Calibri" w:eastAsia="Times New Roman" w:hAnsi="Calibri" w:cs="Calibri"/>
                <w:color w:val="FF33CC"/>
                <w:lang w:eastAsia="es-EC"/>
              </w:rPr>
              <w:t> </w:t>
            </w:r>
          </w:p>
        </w:tc>
        <w:tc>
          <w:tcPr>
            <w:tcW w:w="146" w:type="dxa"/>
            <w:tcBorders>
              <w:left w:val="single" w:sz="4" w:space="0" w:color="7030A0"/>
            </w:tcBorders>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c>
          <w:tcPr>
            <w:tcW w:w="146" w:type="dxa"/>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r>
      <w:tr w:rsidR="006D5EB6" w:rsidRPr="00BE7C7C" w:rsidTr="006D5EB6">
        <w:trPr>
          <w:trHeight w:val="273"/>
        </w:trPr>
        <w:tc>
          <w:tcPr>
            <w:tcW w:w="2770" w:type="dxa"/>
            <w:gridSpan w:val="3"/>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Inversiones Pólizas</w:t>
            </w:r>
          </w:p>
        </w:tc>
        <w:tc>
          <w:tcPr>
            <w:tcW w:w="2152"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000000"/>
                <w:lang w:eastAsia="es-EC"/>
              </w:rPr>
            </w:pPr>
            <w:r w:rsidRPr="00BE7C7C">
              <w:rPr>
                <w:rFonts w:ascii="Calibri" w:eastAsia="Times New Roman" w:hAnsi="Calibri" w:cs="Calibri"/>
                <w:color w:val="000000"/>
                <w:lang w:eastAsia="es-EC"/>
              </w:rPr>
              <w:t>19.379,82</w:t>
            </w:r>
          </w:p>
        </w:tc>
        <w:tc>
          <w:tcPr>
            <w:tcW w:w="1855"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FF33CC"/>
                <w:lang w:eastAsia="es-EC"/>
              </w:rPr>
            </w:pPr>
            <w:r w:rsidRPr="00BE7C7C">
              <w:rPr>
                <w:rFonts w:ascii="Calibri" w:eastAsia="Times New Roman" w:hAnsi="Calibri" w:cs="Calibri"/>
                <w:color w:val="FF33CC"/>
                <w:lang w:eastAsia="es-EC"/>
              </w:rPr>
              <w:t>4,12</w:t>
            </w:r>
          </w:p>
        </w:tc>
        <w:tc>
          <w:tcPr>
            <w:tcW w:w="146" w:type="dxa"/>
            <w:tcBorders>
              <w:left w:val="single" w:sz="4" w:space="0" w:color="7030A0"/>
            </w:tcBorders>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c>
          <w:tcPr>
            <w:tcW w:w="146" w:type="dxa"/>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r>
      <w:tr w:rsidR="006D5EB6" w:rsidRPr="00BE7C7C" w:rsidTr="006D5EB6">
        <w:trPr>
          <w:trHeight w:val="273"/>
        </w:trPr>
        <w:tc>
          <w:tcPr>
            <w:tcW w:w="2770" w:type="dxa"/>
            <w:gridSpan w:val="3"/>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b/>
                <w:bCs/>
                <w:color w:val="8064A2"/>
                <w:lang w:eastAsia="es-EC"/>
              </w:rPr>
            </w:pPr>
            <w:r w:rsidRPr="00BE7C7C">
              <w:rPr>
                <w:rFonts w:ascii="Calibri" w:eastAsia="Times New Roman" w:hAnsi="Calibri" w:cs="Calibri"/>
                <w:b/>
                <w:bCs/>
                <w:color w:val="8064A2"/>
                <w:lang w:eastAsia="es-EC"/>
              </w:rPr>
              <w:t>ACTIVOS NO CORRIENTES</w:t>
            </w:r>
          </w:p>
        </w:tc>
        <w:tc>
          <w:tcPr>
            <w:tcW w:w="2152"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 </w:t>
            </w:r>
          </w:p>
        </w:tc>
        <w:tc>
          <w:tcPr>
            <w:tcW w:w="1855"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FF33CC"/>
                <w:lang w:eastAsia="es-EC"/>
              </w:rPr>
            </w:pPr>
            <w:r w:rsidRPr="00BE7C7C">
              <w:rPr>
                <w:rFonts w:ascii="Calibri" w:eastAsia="Times New Roman" w:hAnsi="Calibri" w:cs="Calibri"/>
                <w:color w:val="FF33CC"/>
                <w:lang w:eastAsia="es-EC"/>
              </w:rPr>
              <w:t> </w:t>
            </w:r>
          </w:p>
        </w:tc>
        <w:tc>
          <w:tcPr>
            <w:tcW w:w="146" w:type="dxa"/>
            <w:tcBorders>
              <w:left w:val="single" w:sz="4" w:space="0" w:color="7030A0"/>
            </w:tcBorders>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c>
          <w:tcPr>
            <w:tcW w:w="146" w:type="dxa"/>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r>
      <w:tr w:rsidR="006D5EB6" w:rsidRPr="00BE7C7C" w:rsidTr="006D5EB6">
        <w:trPr>
          <w:trHeight w:val="273"/>
        </w:trPr>
        <w:tc>
          <w:tcPr>
            <w:tcW w:w="2770" w:type="dxa"/>
            <w:gridSpan w:val="3"/>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FIJOS</w:t>
            </w:r>
          </w:p>
        </w:tc>
        <w:tc>
          <w:tcPr>
            <w:tcW w:w="2152"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 </w:t>
            </w:r>
          </w:p>
        </w:tc>
        <w:tc>
          <w:tcPr>
            <w:tcW w:w="1855"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FF33CC"/>
                <w:lang w:eastAsia="es-EC"/>
              </w:rPr>
            </w:pPr>
            <w:r w:rsidRPr="00BE7C7C">
              <w:rPr>
                <w:rFonts w:ascii="Calibri" w:eastAsia="Times New Roman" w:hAnsi="Calibri" w:cs="Calibri"/>
                <w:color w:val="FF33CC"/>
                <w:lang w:eastAsia="es-EC"/>
              </w:rPr>
              <w:t> </w:t>
            </w:r>
          </w:p>
        </w:tc>
        <w:tc>
          <w:tcPr>
            <w:tcW w:w="146" w:type="dxa"/>
            <w:tcBorders>
              <w:left w:val="single" w:sz="4" w:space="0" w:color="7030A0"/>
            </w:tcBorders>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c>
          <w:tcPr>
            <w:tcW w:w="146" w:type="dxa"/>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r>
      <w:tr w:rsidR="006D5EB6" w:rsidRPr="00BE7C7C" w:rsidTr="006D5EB6">
        <w:trPr>
          <w:trHeight w:val="273"/>
        </w:trPr>
        <w:tc>
          <w:tcPr>
            <w:tcW w:w="2770" w:type="dxa"/>
            <w:gridSpan w:val="3"/>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Terrenos</w:t>
            </w:r>
          </w:p>
        </w:tc>
        <w:tc>
          <w:tcPr>
            <w:tcW w:w="2152"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000000"/>
                <w:lang w:eastAsia="es-EC"/>
              </w:rPr>
            </w:pPr>
            <w:r w:rsidRPr="00BE7C7C">
              <w:rPr>
                <w:rFonts w:ascii="Calibri" w:eastAsia="Times New Roman" w:hAnsi="Calibri" w:cs="Calibri"/>
                <w:color w:val="000000"/>
                <w:lang w:eastAsia="es-EC"/>
              </w:rPr>
              <w:t>49.881,77</w:t>
            </w:r>
          </w:p>
        </w:tc>
        <w:tc>
          <w:tcPr>
            <w:tcW w:w="1855"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FF33CC"/>
                <w:lang w:eastAsia="es-EC"/>
              </w:rPr>
            </w:pPr>
            <w:r w:rsidRPr="00BE7C7C">
              <w:rPr>
                <w:rFonts w:ascii="Calibri" w:eastAsia="Times New Roman" w:hAnsi="Calibri" w:cs="Calibri"/>
                <w:color w:val="FF33CC"/>
                <w:lang w:eastAsia="es-EC"/>
              </w:rPr>
              <w:t>10,60</w:t>
            </w:r>
          </w:p>
        </w:tc>
        <w:tc>
          <w:tcPr>
            <w:tcW w:w="146" w:type="dxa"/>
            <w:tcBorders>
              <w:left w:val="single" w:sz="4" w:space="0" w:color="7030A0"/>
            </w:tcBorders>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c>
          <w:tcPr>
            <w:tcW w:w="146" w:type="dxa"/>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r>
      <w:tr w:rsidR="006D5EB6" w:rsidRPr="00BE7C7C" w:rsidTr="006D5EB6">
        <w:trPr>
          <w:trHeight w:val="273"/>
        </w:trPr>
        <w:tc>
          <w:tcPr>
            <w:tcW w:w="2770" w:type="dxa"/>
            <w:gridSpan w:val="3"/>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Edificios y Construcciones</w:t>
            </w:r>
          </w:p>
        </w:tc>
        <w:tc>
          <w:tcPr>
            <w:tcW w:w="2152"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000000"/>
                <w:lang w:eastAsia="es-EC"/>
              </w:rPr>
            </w:pPr>
            <w:r w:rsidRPr="00BE7C7C">
              <w:rPr>
                <w:rFonts w:ascii="Calibri" w:eastAsia="Times New Roman" w:hAnsi="Calibri" w:cs="Calibri"/>
                <w:color w:val="000000"/>
                <w:lang w:eastAsia="es-EC"/>
              </w:rPr>
              <w:t>214.034,77</w:t>
            </w:r>
          </w:p>
        </w:tc>
        <w:tc>
          <w:tcPr>
            <w:tcW w:w="1855"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FF33CC"/>
                <w:lang w:eastAsia="es-EC"/>
              </w:rPr>
            </w:pPr>
            <w:r w:rsidRPr="00BE7C7C">
              <w:rPr>
                <w:rFonts w:ascii="Calibri" w:eastAsia="Times New Roman" w:hAnsi="Calibri" w:cs="Calibri"/>
                <w:color w:val="FF33CC"/>
                <w:lang w:eastAsia="es-EC"/>
              </w:rPr>
              <w:t>45,47</w:t>
            </w:r>
          </w:p>
        </w:tc>
        <w:tc>
          <w:tcPr>
            <w:tcW w:w="146" w:type="dxa"/>
            <w:tcBorders>
              <w:left w:val="single" w:sz="4" w:space="0" w:color="7030A0"/>
            </w:tcBorders>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c>
          <w:tcPr>
            <w:tcW w:w="146" w:type="dxa"/>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r>
      <w:tr w:rsidR="006D5EB6" w:rsidRPr="00BE7C7C" w:rsidTr="006D5EB6">
        <w:trPr>
          <w:trHeight w:val="273"/>
        </w:trPr>
        <w:tc>
          <w:tcPr>
            <w:tcW w:w="2770" w:type="dxa"/>
            <w:gridSpan w:val="3"/>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Muebles y Equipos</w:t>
            </w:r>
          </w:p>
        </w:tc>
        <w:tc>
          <w:tcPr>
            <w:tcW w:w="2152"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000000"/>
                <w:lang w:eastAsia="es-EC"/>
              </w:rPr>
            </w:pPr>
            <w:r w:rsidRPr="00BE7C7C">
              <w:rPr>
                <w:rFonts w:ascii="Calibri" w:eastAsia="Times New Roman" w:hAnsi="Calibri" w:cs="Calibri"/>
                <w:color w:val="000000"/>
                <w:lang w:eastAsia="es-EC"/>
              </w:rPr>
              <w:t>33.178,77</w:t>
            </w:r>
          </w:p>
        </w:tc>
        <w:tc>
          <w:tcPr>
            <w:tcW w:w="1855"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FF33CC"/>
                <w:lang w:eastAsia="es-EC"/>
              </w:rPr>
            </w:pPr>
            <w:r w:rsidRPr="00BE7C7C">
              <w:rPr>
                <w:rFonts w:ascii="Calibri" w:eastAsia="Times New Roman" w:hAnsi="Calibri" w:cs="Calibri"/>
                <w:color w:val="FF33CC"/>
                <w:lang w:eastAsia="es-EC"/>
              </w:rPr>
              <w:t>7,05</w:t>
            </w:r>
          </w:p>
        </w:tc>
        <w:tc>
          <w:tcPr>
            <w:tcW w:w="146" w:type="dxa"/>
            <w:tcBorders>
              <w:left w:val="single" w:sz="4" w:space="0" w:color="7030A0"/>
            </w:tcBorders>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c>
          <w:tcPr>
            <w:tcW w:w="146" w:type="dxa"/>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r>
      <w:tr w:rsidR="006D5EB6" w:rsidRPr="00BE7C7C" w:rsidTr="006D5EB6">
        <w:trPr>
          <w:trHeight w:val="273"/>
        </w:trPr>
        <w:tc>
          <w:tcPr>
            <w:tcW w:w="2770" w:type="dxa"/>
            <w:gridSpan w:val="3"/>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Equipo de Computo</w:t>
            </w:r>
          </w:p>
        </w:tc>
        <w:tc>
          <w:tcPr>
            <w:tcW w:w="2152"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000000"/>
                <w:lang w:eastAsia="es-EC"/>
              </w:rPr>
            </w:pPr>
            <w:r w:rsidRPr="00BE7C7C">
              <w:rPr>
                <w:rFonts w:ascii="Calibri" w:eastAsia="Times New Roman" w:hAnsi="Calibri" w:cs="Calibri"/>
                <w:color w:val="000000"/>
                <w:lang w:eastAsia="es-EC"/>
              </w:rPr>
              <w:t>4.508,00</w:t>
            </w:r>
          </w:p>
        </w:tc>
        <w:tc>
          <w:tcPr>
            <w:tcW w:w="1855"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FF33CC"/>
                <w:lang w:eastAsia="es-EC"/>
              </w:rPr>
            </w:pPr>
            <w:r w:rsidRPr="00BE7C7C">
              <w:rPr>
                <w:rFonts w:ascii="Calibri" w:eastAsia="Times New Roman" w:hAnsi="Calibri" w:cs="Calibri"/>
                <w:color w:val="FF33CC"/>
                <w:lang w:eastAsia="es-EC"/>
              </w:rPr>
              <w:t>0,96</w:t>
            </w:r>
          </w:p>
        </w:tc>
        <w:tc>
          <w:tcPr>
            <w:tcW w:w="146" w:type="dxa"/>
            <w:tcBorders>
              <w:left w:val="single" w:sz="4" w:space="0" w:color="7030A0"/>
            </w:tcBorders>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c>
          <w:tcPr>
            <w:tcW w:w="146" w:type="dxa"/>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r>
      <w:tr w:rsidR="006D5EB6" w:rsidRPr="00BE7C7C" w:rsidTr="006D5EB6">
        <w:trPr>
          <w:trHeight w:val="273"/>
        </w:trPr>
        <w:tc>
          <w:tcPr>
            <w:tcW w:w="2770" w:type="dxa"/>
            <w:gridSpan w:val="3"/>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Depreciación Acum. Muebles y Equipo</w:t>
            </w:r>
          </w:p>
        </w:tc>
        <w:tc>
          <w:tcPr>
            <w:tcW w:w="2152"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000000"/>
                <w:lang w:eastAsia="es-EC"/>
              </w:rPr>
            </w:pPr>
            <w:r w:rsidRPr="00BE7C7C">
              <w:rPr>
                <w:rFonts w:ascii="Calibri" w:eastAsia="Times New Roman" w:hAnsi="Calibri" w:cs="Calibri"/>
                <w:color w:val="000000"/>
                <w:lang w:eastAsia="es-EC"/>
              </w:rPr>
              <w:t>-3.317,88</w:t>
            </w:r>
          </w:p>
        </w:tc>
        <w:tc>
          <w:tcPr>
            <w:tcW w:w="1855"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FF33CC"/>
                <w:lang w:eastAsia="es-EC"/>
              </w:rPr>
            </w:pPr>
            <w:r w:rsidRPr="00BE7C7C">
              <w:rPr>
                <w:rFonts w:ascii="Calibri" w:eastAsia="Times New Roman" w:hAnsi="Calibri" w:cs="Calibri"/>
                <w:color w:val="FF33CC"/>
                <w:lang w:eastAsia="es-EC"/>
              </w:rPr>
              <w:t>-0,70</w:t>
            </w:r>
          </w:p>
        </w:tc>
        <w:tc>
          <w:tcPr>
            <w:tcW w:w="146" w:type="dxa"/>
            <w:tcBorders>
              <w:left w:val="single" w:sz="4" w:space="0" w:color="7030A0"/>
            </w:tcBorders>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c>
          <w:tcPr>
            <w:tcW w:w="146" w:type="dxa"/>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r>
      <w:tr w:rsidR="006D5EB6" w:rsidRPr="00BE7C7C" w:rsidTr="006D5EB6">
        <w:trPr>
          <w:trHeight w:val="273"/>
        </w:trPr>
        <w:tc>
          <w:tcPr>
            <w:tcW w:w="2770" w:type="dxa"/>
            <w:gridSpan w:val="3"/>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Depreciación Acum. Equipo de Computo</w:t>
            </w:r>
          </w:p>
        </w:tc>
        <w:tc>
          <w:tcPr>
            <w:tcW w:w="2152"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000000"/>
                <w:lang w:eastAsia="es-EC"/>
              </w:rPr>
            </w:pPr>
            <w:r w:rsidRPr="00BE7C7C">
              <w:rPr>
                <w:rFonts w:ascii="Calibri" w:eastAsia="Times New Roman" w:hAnsi="Calibri" w:cs="Calibri"/>
                <w:color w:val="000000"/>
                <w:lang w:eastAsia="es-EC"/>
              </w:rPr>
              <w:t>-1.502,52</w:t>
            </w:r>
          </w:p>
        </w:tc>
        <w:tc>
          <w:tcPr>
            <w:tcW w:w="1855"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FF33CC"/>
                <w:lang w:eastAsia="es-EC"/>
              </w:rPr>
            </w:pPr>
            <w:r w:rsidRPr="00BE7C7C">
              <w:rPr>
                <w:rFonts w:ascii="Calibri" w:eastAsia="Times New Roman" w:hAnsi="Calibri" w:cs="Calibri"/>
                <w:color w:val="FF33CC"/>
                <w:lang w:eastAsia="es-EC"/>
              </w:rPr>
              <w:t>-0,32</w:t>
            </w:r>
          </w:p>
        </w:tc>
        <w:tc>
          <w:tcPr>
            <w:tcW w:w="146" w:type="dxa"/>
            <w:tcBorders>
              <w:left w:val="single" w:sz="4" w:space="0" w:color="7030A0"/>
            </w:tcBorders>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c>
          <w:tcPr>
            <w:tcW w:w="146" w:type="dxa"/>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r>
      <w:tr w:rsidR="006D5EB6" w:rsidRPr="00BE7C7C" w:rsidTr="006D5EB6">
        <w:trPr>
          <w:trHeight w:val="273"/>
        </w:trPr>
        <w:tc>
          <w:tcPr>
            <w:tcW w:w="2770" w:type="dxa"/>
            <w:gridSpan w:val="3"/>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Depreciación Acum. Edificios y Construcciones</w:t>
            </w:r>
          </w:p>
        </w:tc>
        <w:tc>
          <w:tcPr>
            <w:tcW w:w="2152"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000000"/>
                <w:lang w:eastAsia="es-EC"/>
              </w:rPr>
            </w:pPr>
            <w:r w:rsidRPr="00BE7C7C">
              <w:rPr>
                <w:rFonts w:ascii="Calibri" w:eastAsia="Times New Roman" w:hAnsi="Calibri" w:cs="Calibri"/>
                <w:color w:val="000000"/>
                <w:lang w:eastAsia="es-EC"/>
              </w:rPr>
              <w:t>-9.992,67</w:t>
            </w:r>
          </w:p>
        </w:tc>
        <w:tc>
          <w:tcPr>
            <w:tcW w:w="1855"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FF33CC"/>
                <w:lang w:eastAsia="es-EC"/>
              </w:rPr>
            </w:pPr>
            <w:r w:rsidRPr="00BE7C7C">
              <w:rPr>
                <w:rFonts w:ascii="Calibri" w:eastAsia="Times New Roman" w:hAnsi="Calibri" w:cs="Calibri"/>
                <w:color w:val="FF33CC"/>
                <w:lang w:eastAsia="es-EC"/>
              </w:rPr>
              <w:t>-2,12</w:t>
            </w:r>
          </w:p>
        </w:tc>
        <w:tc>
          <w:tcPr>
            <w:tcW w:w="146" w:type="dxa"/>
            <w:tcBorders>
              <w:left w:val="single" w:sz="4" w:space="0" w:color="7030A0"/>
            </w:tcBorders>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c>
          <w:tcPr>
            <w:tcW w:w="146" w:type="dxa"/>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r>
      <w:tr w:rsidR="006D5EB6" w:rsidRPr="00BE7C7C" w:rsidTr="006D5EB6">
        <w:trPr>
          <w:trHeight w:val="273"/>
        </w:trPr>
        <w:tc>
          <w:tcPr>
            <w:tcW w:w="2770" w:type="dxa"/>
            <w:gridSpan w:val="3"/>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DIFERIDOS</w:t>
            </w:r>
          </w:p>
        </w:tc>
        <w:tc>
          <w:tcPr>
            <w:tcW w:w="2152"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 </w:t>
            </w:r>
          </w:p>
        </w:tc>
        <w:tc>
          <w:tcPr>
            <w:tcW w:w="1855"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FF33CC"/>
                <w:lang w:eastAsia="es-EC"/>
              </w:rPr>
            </w:pPr>
            <w:r w:rsidRPr="00BE7C7C">
              <w:rPr>
                <w:rFonts w:ascii="Calibri" w:eastAsia="Times New Roman" w:hAnsi="Calibri" w:cs="Calibri"/>
                <w:color w:val="FF33CC"/>
                <w:lang w:eastAsia="es-EC"/>
              </w:rPr>
              <w:t> </w:t>
            </w:r>
          </w:p>
        </w:tc>
        <w:tc>
          <w:tcPr>
            <w:tcW w:w="146" w:type="dxa"/>
            <w:tcBorders>
              <w:left w:val="single" w:sz="4" w:space="0" w:color="7030A0"/>
            </w:tcBorders>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c>
          <w:tcPr>
            <w:tcW w:w="146" w:type="dxa"/>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r>
      <w:tr w:rsidR="006D5EB6" w:rsidRPr="00BE7C7C" w:rsidTr="006D5EB6">
        <w:trPr>
          <w:trHeight w:val="273"/>
        </w:trPr>
        <w:tc>
          <w:tcPr>
            <w:tcW w:w="2770" w:type="dxa"/>
            <w:gridSpan w:val="3"/>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Cargos Diferidos</w:t>
            </w:r>
          </w:p>
        </w:tc>
        <w:tc>
          <w:tcPr>
            <w:tcW w:w="2152"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000000"/>
                <w:lang w:eastAsia="es-EC"/>
              </w:rPr>
            </w:pPr>
            <w:r w:rsidRPr="00BE7C7C">
              <w:rPr>
                <w:rFonts w:ascii="Calibri" w:eastAsia="Times New Roman" w:hAnsi="Calibri" w:cs="Calibri"/>
                <w:color w:val="000000"/>
                <w:lang w:eastAsia="es-EC"/>
              </w:rPr>
              <w:t>6.000,00</w:t>
            </w:r>
          </w:p>
        </w:tc>
        <w:tc>
          <w:tcPr>
            <w:tcW w:w="1855"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FF33CC"/>
                <w:lang w:eastAsia="es-EC"/>
              </w:rPr>
            </w:pPr>
            <w:r w:rsidRPr="00BE7C7C">
              <w:rPr>
                <w:rFonts w:ascii="Calibri" w:eastAsia="Times New Roman" w:hAnsi="Calibri" w:cs="Calibri"/>
                <w:color w:val="FF33CC"/>
                <w:lang w:eastAsia="es-EC"/>
              </w:rPr>
              <w:t>1,27</w:t>
            </w:r>
          </w:p>
        </w:tc>
        <w:tc>
          <w:tcPr>
            <w:tcW w:w="146" w:type="dxa"/>
            <w:tcBorders>
              <w:left w:val="single" w:sz="4" w:space="0" w:color="7030A0"/>
            </w:tcBorders>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c>
          <w:tcPr>
            <w:tcW w:w="146" w:type="dxa"/>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r>
      <w:tr w:rsidR="006D5EB6" w:rsidRPr="00BE7C7C" w:rsidTr="006D5EB6">
        <w:trPr>
          <w:trHeight w:val="273"/>
        </w:trPr>
        <w:tc>
          <w:tcPr>
            <w:tcW w:w="2770" w:type="dxa"/>
            <w:gridSpan w:val="3"/>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b/>
                <w:bCs/>
                <w:color w:val="8064A2"/>
                <w:lang w:eastAsia="es-EC"/>
              </w:rPr>
            </w:pPr>
            <w:r w:rsidRPr="00BE7C7C">
              <w:rPr>
                <w:rFonts w:ascii="Calibri" w:eastAsia="Times New Roman" w:hAnsi="Calibri" w:cs="Calibri"/>
                <w:b/>
                <w:bCs/>
                <w:color w:val="8064A2"/>
                <w:lang w:eastAsia="es-EC"/>
              </w:rPr>
              <w:t>OTROS ACTIVOS</w:t>
            </w:r>
          </w:p>
        </w:tc>
        <w:tc>
          <w:tcPr>
            <w:tcW w:w="2152"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 </w:t>
            </w:r>
          </w:p>
        </w:tc>
        <w:tc>
          <w:tcPr>
            <w:tcW w:w="1855"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FF33CC"/>
                <w:lang w:eastAsia="es-EC"/>
              </w:rPr>
            </w:pPr>
            <w:r w:rsidRPr="00BE7C7C">
              <w:rPr>
                <w:rFonts w:ascii="Calibri" w:eastAsia="Times New Roman" w:hAnsi="Calibri" w:cs="Calibri"/>
                <w:color w:val="FF33CC"/>
                <w:lang w:eastAsia="es-EC"/>
              </w:rPr>
              <w:t> </w:t>
            </w:r>
          </w:p>
        </w:tc>
        <w:tc>
          <w:tcPr>
            <w:tcW w:w="146" w:type="dxa"/>
            <w:tcBorders>
              <w:left w:val="single" w:sz="4" w:space="0" w:color="7030A0"/>
            </w:tcBorders>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c>
          <w:tcPr>
            <w:tcW w:w="146" w:type="dxa"/>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r>
      <w:tr w:rsidR="006D5EB6" w:rsidRPr="00BE7C7C" w:rsidTr="006D5EB6">
        <w:trPr>
          <w:trHeight w:val="273"/>
        </w:trPr>
        <w:tc>
          <w:tcPr>
            <w:tcW w:w="2770" w:type="dxa"/>
            <w:gridSpan w:val="3"/>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Garantías Contratos</w:t>
            </w:r>
          </w:p>
        </w:tc>
        <w:tc>
          <w:tcPr>
            <w:tcW w:w="2152"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000000"/>
                <w:lang w:eastAsia="es-EC"/>
              </w:rPr>
            </w:pPr>
            <w:r w:rsidRPr="00BE7C7C">
              <w:rPr>
                <w:rFonts w:ascii="Calibri" w:eastAsia="Times New Roman" w:hAnsi="Calibri" w:cs="Calibri"/>
                <w:color w:val="000000"/>
                <w:lang w:eastAsia="es-EC"/>
              </w:rPr>
              <w:t>284,56</w:t>
            </w:r>
          </w:p>
        </w:tc>
        <w:tc>
          <w:tcPr>
            <w:tcW w:w="1855"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FF33CC"/>
                <w:lang w:eastAsia="es-EC"/>
              </w:rPr>
            </w:pPr>
            <w:r w:rsidRPr="00BE7C7C">
              <w:rPr>
                <w:rFonts w:ascii="Calibri" w:eastAsia="Times New Roman" w:hAnsi="Calibri" w:cs="Calibri"/>
                <w:color w:val="FF33CC"/>
                <w:lang w:eastAsia="es-EC"/>
              </w:rPr>
              <w:t>0,06</w:t>
            </w:r>
          </w:p>
        </w:tc>
        <w:tc>
          <w:tcPr>
            <w:tcW w:w="146" w:type="dxa"/>
            <w:tcBorders>
              <w:left w:val="single" w:sz="4" w:space="0" w:color="7030A0"/>
            </w:tcBorders>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c>
          <w:tcPr>
            <w:tcW w:w="146" w:type="dxa"/>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r>
      <w:tr w:rsidR="006D5EB6" w:rsidRPr="00BE7C7C" w:rsidTr="006D5EB6">
        <w:trPr>
          <w:trHeight w:val="273"/>
        </w:trPr>
        <w:tc>
          <w:tcPr>
            <w:tcW w:w="2770" w:type="dxa"/>
            <w:gridSpan w:val="3"/>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Cofres Mortuorios</w:t>
            </w:r>
          </w:p>
        </w:tc>
        <w:tc>
          <w:tcPr>
            <w:tcW w:w="2152"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000000"/>
                <w:lang w:eastAsia="es-EC"/>
              </w:rPr>
            </w:pPr>
            <w:r w:rsidRPr="00BE7C7C">
              <w:rPr>
                <w:rFonts w:ascii="Calibri" w:eastAsia="Times New Roman" w:hAnsi="Calibri" w:cs="Calibri"/>
                <w:color w:val="000000"/>
                <w:lang w:eastAsia="es-EC"/>
              </w:rPr>
              <w:t>360</w:t>
            </w:r>
          </w:p>
        </w:tc>
        <w:tc>
          <w:tcPr>
            <w:tcW w:w="1855"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FF33CC"/>
                <w:lang w:eastAsia="es-EC"/>
              </w:rPr>
            </w:pPr>
            <w:r w:rsidRPr="00BE7C7C">
              <w:rPr>
                <w:rFonts w:ascii="Calibri" w:eastAsia="Times New Roman" w:hAnsi="Calibri" w:cs="Calibri"/>
                <w:color w:val="FF33CC"/>
                <w:lang w:eastAsia="es-EC"/>
              </w:rPr>
              <w:t>0,08</w:t>
            </w:r>
          </w:p>
        </w:tc>
        <w:tc>
          <w:tcPr>
            <w:tcW w:w="146" w:type="dxa"/>
            <w:tcBorders>
              <w:left w:val="single" w:sz="4" w:space="0" w:color="7030A0"/>
            </w:tcBorders>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c>
          <w:tcPr>
            <w:tcW w:w="146" w:type="dxa"/>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r>
      <w:tr w:rsidR="006D5EB6" w:rsidRPr="00BE7C7C" w:rsidTr="006D5EB6">
        <w:trPr>
          <w:trHeight w:val="273"/>
        </w:trPr>
        <w:tc>
          <w:tcPr>
            <w:tcW w:w="2770" w:type="dxa"/>
            <w:gridSpan w:val="3"/>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REVALORIZACIONES</w:t>
            </w:r>
          </w:p>
        </w:tc>
        <w:tc>
          <w:tcPr>
            <w:tcW w:w="2152"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 </w:t>
            </w:r>
          </w:p>
        </w:tc>
        <w:tc>
          <w:tcPr>
            <w:tcW w:w="1855"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FF33CC"/>
                <w:lang w:eastAsia="es-EC"/>
              </w:rPr>
            </w:pPr>
            <w:r w:rsidRPr="00BE7C7C">
              <w:rPr>
                <w:rFonts w:ascii="Calibri" w:eastAsia="Times New Roman" w:hAnsi="Calibri" w:cs="Calibri"/>
                <w:color w:val="FF33CC"/>
                <w:lang w:eastAsia="es-EC"/>
              </w:rPr>
              <w:t> </w:t>
            </w:r>
          </w:p>
        </w:tc>
        <w:tc>
          <w:tcPr>
            <w:tcW w:w="146" w:type="dxa"/>
            <w:tcBorders>
              <w:left w:val="single" w:sz="4" w:space="0" w:color="7030A0"/>
            </w:tcBorders>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c>
          <w:tcPr>
            <w:tcW w:w="146" w:type="dxa"/>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r>
      <w:tr w:rsidR="006D5EB6" w:rsidRPr="00BE7C7C" w:rsidTr="006D5EB6">
        <w:trPr>
          <w:trHeight w:val="273"/>
        </w:trPr>
        <w:tc>
          <w:tcPr>
            <w:tcW w:w="2770" w:type="dxa"/>
            <w:gridSpan w:val="3"/>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Revalorización Certificados de Aportación</w:t>
            </w:r>
          </w:p>
        </w:tc>
        <w:tc>
          <w:tcPr>
            <w:tcW w:w="2152"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 </w:t>
            </w:r>
          </w:p>
        </w:tc>
        <w:tc>
          <w:tcPr>
            <w:tcW w:w="1855"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FF33CC"/>
                <w:lang w:eastAsia="es-EC"/>
              </w:rPr>
            </w:pPr>
            <w:r w:rsidRPr="00BE7C7C">
              <w:rPr>
                <w:rFonts w:ascii="Calibri" w:eastAsia="Times New Roman" w:hAnsi="Calibri" w:cs="Calibri"/>
                <w:color w:val="FF33CC"/>
                <w:lang w:eastAsia="es-EC"/>
              </w:rPr>
              <w:t> </w:t>
            </w:r>
          </w:p>
        </w:tc>
        <w:tc>
          <w:tcPr>
            <w:tcW w:w="146" w:type="dxa"/>
            <w:tcBorders>
              <w:left w:val="single" w:sz="4" w:space="0" w:color="7030A0"/>
            </w:tcBorders>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c>
          <w:tcPr>
            <w:tcW w:w="146" w:type="dxa"/>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r>
      <w:tr w:rsidR="006D5EB6" w:rsidRPr="00BE7C7C" w:rsidTr="006D5EB6">
        <w:trPr>
          <w:trHeight w:val="273"/>
        </w:trPr>
        <w:tc>
          <w:tcPr>
            <w:tcW w:w="2770" w:type="dxa"/>
            <w:gridSpan w:val="3"/>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 </w:t>
            </w:r>
          </w:p>
        </w:tc>
        <w:tc>
          <w:tcPr>
            <w:tcW w:w="2152"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 </w:t>
            </w:r>
          </w:p>
        </w:tc>
        <w:tc>
          <w:tcPr>
            <w:tcW w:w="1855"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FF33CC"/>
                <w:lang w:eastAsia="es-EC"/>
              </w:rPr>
            </w:pPr>
            <w:r w:rsidRPr="00BE7C7C">
              <w:rPr>
                <w:rFonts w:ascii="Calibri" w:eastAsia="Times New Roman" w:hAnsi="Calibri" w:cs="Calibri"/>
                <w:color w:val="FF33CC"/>
                <w:lang w:eastAsia="es-EC"/>
              </w:rPr>
              <w:t> </w:t>
            </w:r>
          </w:p>
        </w:tc>
        <w:tc>
          <w:tcPr>
            <w:tcW w:w="146" w:type="dxa"/>
            <w:tcBorders>
              <w:left w:val="single" w:sz="4" w:space="0" w:color="7030A0"/>
            </w:tcBorders>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c>
          <w:tcPr>
            <w:tcW w:w="146" w:type="dxa"/>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r>
      <w:tr w:rsidR="006D5EB6" w:rsidRPr="00BE7C7C" w:rsidTr="006D5EB6">
        <w:trPr>
          <w:trHeight w:val="273"/>
        </w:trPr>
        <w:tc>
          <w:tcPr>
            <w:tcW w:w="2770" w:type="dxa"/>
            <w:gridSpan w:val="3"/>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rPr>
                <w:rFonts w:ascii="Calibri" w:eastAsia="Times New Roman" w:hAnsi="Calibri" w:cs="Calibri"/>
                <w:b/>
                <w:bCs/>
                <w:color w:val="000000"/>
                <w:lang w:eastAsia="es-EC"/>
              </w:rPr>
            </w:pPr>
            <w:r w:rsidRPr="00BE7C7C">
              <w:rPr>
                <w:rFonts w:ascii="Calibri" w:eastAsia="Times New Roman" w:hAnsi="Calibri" w:cs="Calibri"/>
                <w:b/>
                <w:bCs/>
                <w:color w:val="000000"/>
                <w:lang w:eastAsia="es-EC"/>
              </w:rPr>
              <w:t>TOTAL ACTIVOS</w:t>
            </w:r>
          </w:p>
        </w:tc>
        <w:tc>
          <w:tcPr>
            <w:tcW w:w="2152"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000000"/>
                <w:lang w:eastAsia="es-EC"/>
              </w:rPr>
            </w:pPr>
            <w:r w:rsidRPr="00BE7C7C">
              <w:rPr>
                <w:rFonts w:ascii="Calibri" w:eastAsia="Times New Roman" w:hAnsi="Calibri" w:cs="Calibri"/>
                <w:color w:val="000000"/>
                <w:lang w:eastAsia="es-EC"/>
              </w:rPr>
              <w:t>470738,11</w:t>
            </w:r>
          </w:p>
        </w:tc>
        <w:tc>
          <w:tcPr>
            <w:tcW w:w="1855" w:type="dxa"/>
            <w:tcBorders>
              <w:top w:val="single" w:sz="4" w:space="0" w:color="7030A0"/>
              <w:left w:val="single" w:sz="4" w:space="0" w:color="7030A0"/>
              <w:bottom w:val="single" w:sz="4" w:space="0" w:color="7030A0"/>
              <w:right w:val="single" w:sz="4" w:space="0" w:color="7030A0"/>
            </w:tcBorders>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FF33CC"/>
                <w:lang w:eastAsia="es-EC"/>
              </w:rPr>
            </w:pPr>
            <w:r w:rsidRPr="00BE7C7C">
              <w:rPr>
                <w:rFonts w:ascii="Calibri" w:eastAsia="Times New Roman" w:hAnsi="Calibri" w:cs="Calibri"/>
                <w:color w:val="FF33CC"/>
                <w:lang w:eastAsia="es-EC"/>
              </w:rPr>
              <w:t>100</w:t>
            </w:r>
          </w:p>
        </w:tc>
        <w:tc>
          <w:tcPr>
            <w:tcW w:w="146" w:type="dxa"/>
            <w:tcBorders>
              <w:left w:val="single" w:sz="4" w:space="0" w:color="7030A0"/>
            </w:tcBorders>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c>
          <w:tcPr>
            <w:tcW w:w="146" w:type="dxa"/>
            <w:vAlign w:val="center"/>
            <w:hideMark/>
          </w:tcPr>
          <w:p w:rsidR="006D5EB6" w:rsidRPr="00BE7C7C" w:rsidRDefault="006D5EB6" w:rsidP="006D5EB6">
            <w:pPr>
              <w:spacing w:after="0" w:line="240" w:lineRule="auto"/>
              <w:rPr>
                <w:rFonts w:ascii="Times New Roman" w:eastAsia="Times New Roman" w:hAnsi="Times New Roman" w:cs="Times New Roman"/>
                <w:sz w:val="20"/>
                <w:szCs w:val="20"/>
                <w:lang w:eastAsia="es-EC"/>
              </w:rPr>
            </w:pPr>
          </w:p>
        </w:tc>
      </w:tr>
    </w:tbl>
    <w:p w:rsidR="006D5EB6" w:rsidRDefault="006D5EB6" w:rsidP="006D5EB6">
      <w:pPr>
        <w:spacing w:after="0"/>
        <w:rPr>
          <w:rFonts w:ascii="Times New Roman" w:hAnsi="Times New Roman" w:cs="Times New Roman"/>
          <w:sz w:val="52"/>
          <w:szCs w:val="52"/>
        </w:rPr>
      </w:pPr>
    </w:p>
    <w:p w:rsidR="006D5EB6" w:rsidRDefault="006D5EB6" w:rsidP="006D5EB6">
      <w:pPr>
        <w:spacing w:after="0"/>
        <w:rPr>
          <w:rFonts w:ascii="Times New Roman" w:hAnsi="Times New Roman" w:cs="Times New Roman"/>
          <w:sz w:val="52"/>
          <w:szCs w:val="52"/>
        </w:rPr>
      </w:pPr>
    </w:p>
    <w:tbl>
      <w:tblPr>
        <w:tblW w:w="6855" w:type="dxa"/>
        <w:tblInd w:w="65" w:type="dxa"/>
        <w:tblBorders>
          <w:top w:val="single" w:sz="4" w:space="0" w:color="FF66CC"/>
          <w:left w:val="single" w:sz="4" w:space="0" w:color="FF66CC"/>
          <w:bottom w:val="single" w:sz="4" w:space="0" w:color="FF66CC"/>
          <w:right w:val="single" w:sz="4" w:space="0" w:color="FF66CC"/>
          <w:insideH w:val="single" w:sz="4" w:space="0" w:color="FF66CC"/>
          <w:insideV w:val="single" w:sz="4" w:space="0" w:color="FF66CC"/>
        </w:tblBorders>
        <w:tblCellMar>
          <w:left w:w="70" w:type="dxa"/>
          <w:right w:w="70" w:type="dxa"/>
        </w:tblCellMar>
        <w:tblLook w:val="04A0"/>
      </w:tblPr>
      <w:tblGrid>
        <w:gridCol w:w="4136"/>
        <w:gridCol w:w="1143"/>
        <w:gridCol w:w="1586"/>
      </w:tblGrid>
      <w:tr w:rsidR="006D5EB6" w:rsidRPr="00BE7C7C" w:rsidTr="006D5EB6">
        <w:trPr>
          <w:trHeight w:val="299"/>
        </w:trPr>
        <w:tc>
          <w:tcPr>
            <w:tcW w:w="4136" w:type="dxa"/>
            <w:shd w:val="clear" w:color="auto" w:fill="auto"/>
            <w:noWrap/>
            <w:vAlign w:val="bottom"/>
            <w:hideMark/>
          </w:tcPr>
          <w:p w:rsidR="006D5EB6" w:rsidRPr="00BE7C7C" w:rsidRDefault="006D5EB6" w:rsidP="006D5EB6">
            <w:pPr>
              <w:spacing w:after="0" w:line="240" w:lineRule="auto"/>
              <w:rPr>
                <w:rFonts w:ascii="Calibri" w:eastAsia="Times New Roman" w:hAnsi="Calibri" w:cs="Calibri"/>
                <w:b/>
                <w:bCs/>
                <w:color w:val="000000"/>
                <w:lang w:eastAsia="es-EC"/>
              </w:rPr>
            </w:pPr>
            <w:r w:rsidRPr="00BE7C7C">
              <w:rPr>
                <w:rFonts w:ascii="Calibri" w:eastAsia="Times New Roman" w:hAnsi="Calibri" w:cs="Calibri"/>
                <w:b/>
                <w:bCs/>
                <w:color w:val="000000"/>
                <w:lang w:eastAsia="es-EC"/>
              </w:rPr>
              <w:lastRenderedPageBreak/>
              <w:t>PASIVOS</w:t>
            </w:r>
          </w:p>
        </w:tc>
        <w:tc>
          <w:tcPr>
            <w:tcW w:w="1133" w:type="dxa"/>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 </w:t>
            </w:r>
          </w:p>
        </w:tc>
        <w:tc>
          <w:tcPr>
            <w:tcW w:w="1586" w:type="dxa"/>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 </w:t>
            </w:r>
          </w:p>
        </w:tc>
      </w:tr>
      <w:tr w:rsidR="006D5EB6" w:rsidRPr="00BE7C7C" w:rsidTr="006D5EB6">
        <w:trPr>
          <w:trHeight w:val="299"/>
        </w:trPr>
        <w:tc>
          <w:tcPr>
            <w:tcW w:w="4136" w:type="dxa"/>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Cuentas por Pagar</w:t>
            </w:r>
          </w:p>
        </w:tc>
        <w:tc>
          <w:tcPr>
            <w:tcW w:w="1133" w:type="dxa"/>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000000"/>
                <w:lang w:eastAsia="es-EC"/>
              </w:rPr>
            </w:pPr>
            <w:r w:rsidRPr="00BE7C7C">
              <w:rPr>
                <w:rFonts w:ascii="Calibri" w:eastAsia="Times New Roman" w:hAnsi="Calibri" w:cs="Calibri"/>
                <w:color w:val="000000"/>
                <w:lang w:eastAsia="es-EC"/>
              </w:rPr>
              <w:t>6.108,30</w:t>
            </w:r>
          </w:p>
        </w:tc>
        <w:tc>
          <w:tcPr>
            <w:tcW w:w="1586" w:type="dxa"/>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FF33CC"/>
                <w:lang w:eastAsia="es-EC"/>
              </w:rPr>
            </w:pPr>
            <w:r w:rsidRPr="00BE7C7C">
              <w:rPr>
                <w:rFonts w:ascii="Calibri" w:eastAsia="Times New Roman" w:hAnsi="Calibri" w:cs="Calibri"/>
                <w:color w:val="FF33CC"/>
                <w:lang w:eastAsia="es-EC"/>
              </w:rPr>
              <w:t>1,30</w:t>
            </w:r>
          </w:p>
        </w:tc>
      </w:tr>
      <w:tr w:rsidR="006D5EB6" w:rsidRPr="00BE7C7C" w:rsidTr="006D5EB6">
        <w:trPr>
          <w:trHeight w:val="299"/>
        </w:trPr>
        <w:tc>
          <w:tcPr>
            <w:tcW w:w="4136" w:type="dxa"/>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 </w:t>
            </w:r>
          </w:p>
        </w:tc>
        <w:tc>
          <w:tcPr>
            <w:tcW w:w="1133" w:type="dxa"/>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 </w:t>
            </w:r>
          </w:p>
        </w:tc>
        <w:tc>
          <w:tcPr>
            <w:tcW w:w="1586" w:type="dxa"/>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FF33CC"/>
                <w:lang w:eastAsia="es-EC"/>
              </w:rPr>
            </w:pPr>
            <w:r w:rsidRPr="00BE7C7C">
              <w:rPr>
                <w:rFonts w:ascii="Calibri" w:eastAsia="Times New Roman" w:hAnsi="Calibri" w:cs="Calibri"/>
                <w:color w:val="FF33CC"/>
                <w:lang w:eastAsia="es-EC"/>
              </w:rPr>
              <w:t> </w:t>
            </w:r>
          </w:p>
        </w:tc>
      </w:tr>
      <w:tr w:rsidR="006D5EB6" w:rsidRPr="00BE7C7C" w:rsidTr="006D5EB6">
        <w:trPr>
          <w:trHeight w:val="299"/>
        </w:trPr>
        <w:tc>
          <w:tcPr>
            <w:tcW w:w="4136" w:type="dxa"/>
            <w:shd w:val="clear" w:color="auto" w:fill="auto"/>
            <w:noWrap/>
            <w:vAlign w:val="bottom"/>
            <w:hideMark/>
          </w:tcPr>
          <w:p w:rsidR="006D5EB6" w:rsidRPr="00BE7C7C" w:rsidRDefault="006D5EB6" w:rsidP="006D5EB6">
            <w:pPr>
              <w:spacing w:after="0" w:line="240" w:lineRule="auto"/>
              <w:rPr>
                <w:rFonts w:ascii="Calibri" w:eastAsia="Times New Roman" w:hAnsi="Calibri" w:cs="Calibri"/>
                <w:b/>
                <w:bCs/>
                <w:color w:val="000000"/>
                <w:lang w:eastAsia="es-EC"/>
              </w:rPr>
            </w:pPr>
            <w:r w:rsidRPr="00BE7C7C">
              <w:rPr>
                <w:rFonts w:ascii="Calibri" w:eastAsia="Times New Roman" w:hAnsi="Calibri" w:cs="Calibri"/>
                <w:b/>
                <w:bCs/>
                <w:color w:val="000000"/>
                <w:lang w:eastAsia="es-EC"/>
              </w:rPr>
              <w:t>TOTAL PASIVOS</w:t>
            </w:r>
          </w:p>
        </w:tc>
        <w:tc>
          <w:tcPr>
            <w:tcW w:w="1133" w:type="dxa"/>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000000"/>
                <w:lang w:eastAsia="es-EC"/>
              </w:rPr>
            </w:pPr>
            <w:r w:rsidRPr="00BE7C7C">
              <w:rPr>
                <w:rFonts w:ascii="Calibri" w:eastAsia="Times New Roman" w:hAnsi="Calibri" w:cs="Calibri"/>
                <w:color w:val="000000"/>
                <w:lang w:eastAsia="es-EC"/>
              </w:rPr>
              <w:t>6.108,30</w:t>
            </w:r>
          </w:p>
        </w:tc>
        <w:tc>
          <w:tcPr>
            <w:tcW w:w="1586" w:type="dxa"/>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FF33CC"/>
                <w:lang w:eastAsia="es-EC"/>
              </w:rPr>
            </w:pPr>
            <w:r>
              <w:rPr>
                <w:rFonts w:ascii="Calibri" w:eastAsia="Times New Roman" w:hAnsi="Calibri" w:cs="Calibri"/>
                <w:noProof/>
                <w:color w:val="FF33CC"/>
                <w:lang w:eastAsia="es-EC"/>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31" type="#_x0000_t63" style="position:absolute;margin-left:79.35pt;margin-top:8.8pt;width:104.75pt;height:62.7pt;z-index:251668480;mso-position-horizontal-relative:text;mso-position-vertical-relative:text" adj="1371,28834" strokecolor="#f6c">
                  <v:textbox>
                    <w:txbxContent>
                      <w:p w:rsidR="006D5EB6" w:rsidRDefault="006D5EB6" w:rsidP="006D5EB6">
                        <w:r>
                          <w:t>ESTRUCTURA FINANCIERA</w:t>
                        </w:r>
                      </w:p>
                    </w:txbxContent>
                  </v:textbox>
                </v:shape>
              </w:pict>
            </w:r>
            <w:r w:rsidRPr="00BE7C7C">
              <w:rPr>
                <w:rFonts w:ascii="Calibri" w:eastAsia="Times New Roman" w:hAnsi="Calibri" w:cs="Calibri"/>
                <w:color w:val="FF33CC"/>
                <w:lang w:eastAsia="es-EC"/>
              </w:rPr>
              <w:t> </w:t>
            </w:r>
          </w:p>
        </w:tc>
      </w:tr>
      <w:tr w:rsidR="006D5EB6" w:rsidRPr="00BE7C7C" w:rsidTr="006D5EB6">
        <w:trPr>
          <w:trHeight w:val="299"/>
        </w:trPr>
        <w:tc>
          <w:tcPr>
            <w:tcW w:w="4136" w:type="dxa"/>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 </w:t>
            </w:r>
          </w:p>
        </w:tc>
        <w:tc>
          <w:tcPr>
            <w:tcW w:w="1133" w:type="dxa"/>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 </w:t>
            </w:r>
          </w:p>
        </w:tc>
        <w:tc>
          <w:tcPr>
            <w:tcW w:w="1586" w:type="dxa"/>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FF33CC"/>
                <w:lang w:eastAsia="es-EC"/>
              </w:rPr>
            </w:pPr>
            <w:r w:rsidRPr="00BE7C7C">
              <w:rPr>
                <w:rFonts w:ascii="Calibri" w:eastAsia="Times New Roman" w:hAnsi="Calibri" w:cs="Calibri"/>
                <w:color w:val="FF33CC"/>
                <w:lang w:eastAsia="es-EC"/>
              </w:rPr>
              <w:t> </w:t>
            </w:r>
          </w:p>
        </w:tc>
      </w:tr>
      <w:tr w:rsidR="006D5EB6" w:rsidRPr="00BE7C7C" w:rsidTr="006D5EB6">
        <w:trPr>
          <w:trHeight w:val="299"/>
        </w:trPr>
        <w:tc>
          <w:tcPr>
            <w:tcW w:w="4136" w:type="dxa"/>
            <w:shd w:val="clear" w:color="auto" w:fill="auto"/>
            <w:noWrap/>
            <w:vAlign w:val="bottom"/>
            <w:hideMark/>
          </w:tcPr>
          <w:p w:rsidR="006D5EB6" w:rsidRPr="00BE7C7C" w:rsidRDefault="006D5EB6" w:rsidP="006D5EB6">
            <w:pPr>
              <w:spacing w:after="0" w:line="240" w:lineRule="auto"/>
              <w:rPr>
                <w:rFonts w:ascii="Calibri" w:eastAsia="Times New Roman" w:hAnsi="Calibri" w:cs="Calibri"/>
                <w:b/>
                <w:bCs/>
                <w:color w:val="000000"/>
                <w:lang w:eastAsia="es-EC"/>
              </w:rPr>
            </w:pPr>
            <w:r w:rsidRPr="00BE7C7C">
              <w:rPr>
                <w:rFonts w:ascii="Calibri" w:eastAsia="Times New Roman" w:hAnsi="Calibri" w:cs="Calibri"/>
                <w:b/>
                <w:bCs/>
                <w:color w:val="000000"/>
                <w:lang w:eastAsia="es-EC"/>
              </w:rPr>
              <w:t>PATRIMONIO</w:t>
            </w:r>
          </w:p>
        </w:tc>
        <w:tc>
          <w:tcPr>
            <w:tcW w:w="1133" w:type="dxa"/>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 </w:t>
            </w:r>
          </w:p>
        </w:tc>
        <w:tc>
          <w:tcPr>
            <w:tcW w:w="1586" w:type="dxa"/>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FF33CC"/>
                <w:lang w:eastAsia="es-EC"/>
              </w:rPr>
            </w:pPr>
            <w:r w:rsidRPr="00BE7C7C">
              <w:rPr>
                <w:rFonts w:ascii="Calibri" w:eastAsia="Times New Roman" w:hAnsi="Calibri" w:cs="Calibri"/>
                <w:color w:val="FF33CC"/>
                <w:lang w:eastAsia="es-EC"/>
              </w:rPr>
              <w:t> </w:t>
            </w:r>
          </w:p>
        </w:tc>
      </w:tr>
      <w:tr w:rsidR="006D5EB6" w:rsidRPr="00BE7C7C" w:rsidTr="006D5EB6">
        <w:trPr>
          <w:trHeight w:val="299"/>
        </w:trPr>
        <w:tc>
          <w:tcPr>
            <w:tcW w:w="4136" w:type="dxa"/>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Capital Social</w:t>
            </w:r>
          </w:p>
        </w:tc>
        <w:tc>
          <w:tcPr>
            <w:tcW w:w="1133" w:type="dxa"/>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000000"/>
                <w:lang w:eastAsia="es-EC"/>
              </w:rPr>
            </w:pPr>
            <w:r w:rsidRPr="00BE7C7C">
              <w:rPr>
                <w:rFonts w:ascii="Calibri" w:eastAsia="Times New Roman" w:hAnsi="Calibri" w:cs="Calibri"/>
                <w:color w:val="000000"/>
                <w:lang w:eastAsia="es-EC"/>
              </w:rPr>
              <w:t>421.979,91</w:t>
            </w:r>
          </w:p>
        </w:tc>
        <w:tc>
          <w:tcPr>
            <w:tcW w:w="1586" w:type="dxa"/>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FF33CC"/>
                <w:lang w:eastAsia="es-EC"/>
              </w:rPr>
            </w:pPr>
            <w:r w:rsidRPr="00BE7C7C">
              <w:rPr>
                <w:rFonts w:ascii="Calibri" w:eastAsia="Times New Roman" w:hAnsi="Calibri" w:cs="Calibri"/>
                <w:color w:val="FF33CC"/>
                <w:lang w:eastAsia="es-EC"/>
              </w:rPr>
              <w:t>89,64</w:t>
            </w:r>
          </w:p>
        </w:tc>
      </w:tr>
      <w:tr w:rsidR="006D5EB6" w:rsidRPr="00BE7C7C" w:rsidTr="006D5EB6">
        <w:trPr>
          <w:trHeight w:val="299"/>
        </w:trPr>
        <w:tc>
          <w:tcPr>
            <w:tcW w:w="4136" w:type="dxa"/>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Reservas Legales</w:t>
            </w:r>
          </w:p>
        </w:tc>
        <w:tc>
          <w:tcPr>
            <w:tcW w:w="1133" w:type="dxa"/>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000000"/>
                <w:lang w:eastAsia="es-EC"/>
              </w:rPr>
            </w:pPr>
            <w:r w:rsidRPr="00BE7C7C">
              <w:rPr>
                <w:rFonts w:ascii="Calibri" w:eastAsia="Times New Roman" w:hAnsi="Calibri" w:cs="Calibri"/>
                <w:color w:val="000000"/>
                <w:lang w:eastAsia="es-EC"/>
              </w:rPr>
              <w:t>2.877,35</w:t>
            </w:r>
          </w:p>
        </w:tc>
        <w:tc>
          <w:tcPr>
            <w:tcW w:w="1586" w:type="dxa"/>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FF33CC"/>
                <w:lang w:eastAsia="es-EC"/>
              </w:rPr>
            </w:pPr>
            <w:r w:rsidRPr="00BE7C7C">
              <w:rPr>
                <w:rFonts w:ascii="Calibri" w:eastAsia="Times New Roman" w:hAnsi="Calibri" w:cs="Calibri"/>
                <w:color w:val="FF33CC"/>
                <w:lang w:eastAsia="es-EC"/>
              </w:rPr>
              <w:t>0,61</w:t>
            </w:r>
          </w:p>
        </w:tc>
      </w:tr>
      <w:tr w:rsidR="006D5EB6" w:rsidRPr="00BE7C7C" w:rsidTr="006D5EB6">
        <w:trPr>
          <w:trHeight w:val="299"/>
        </w:trPr>
        <w:tc>
          <w:tcPr>
            <w:tcW w:w="4136" w:type="dxa"/>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Reservas Facultativas</w:t>
            </w:r>
          </w:p>
        </w:tc>
        <w:tc>
          <w:tcPr>
            <w:tcW w:w="1133" w:type="dxa"/>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 </w:t>
            </w:r>
          </w:p>
        </w:tc>
        <w:tc>
          <w:tcPr>
            <w:tcW w:w="1586" w:type="dxa"/>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FF33CC"/>
                <w:lang w:eastAsia="es-EC"/>
              </w:rPr>
            </w:pPr>
            <w:r w:rsidRPr="00BE7C7C">
              <w:rPr>
                <w:rFonts w:ascii="Calibri" w:eastAsia="Times New Roman" w:hAnsi="Calibri" w:cs="Calibri"/>
                <w:color w:val="FF33CC"/>
                <w:lang w:eastAsia="es-EC"/>
              </w:rPr>
              <w:t>0</w:t>
            </w:r>
          </w:p>
        </w:tc>
      </w:tr>
      <w:tr w:rsidR="006D5EB6" w:rsidRPr="00BE7C7C" w:rsidTr="006D5EB6">
        <w:trPr>
          <w:trHeight w:val="299"/>
        </w:trPr>
        <w:tc>
          <w:tcPr>
            <w:tcW w:w="4136" w:type="dxa"/>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Revalúo de Activos Fijos</w:t>
            </w:r>
          </w:p>
        </w:tc>
        <w:tc>
          <w:tcPr>
            <w:tcW w:w="1133" w:type="dxa"/>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 </w:t>
            </w:r>
          </w:p>
        </w:tc>
        <w:tc>
          <w:tcPr>
            <w:tcW w:w="1586" w:type="dxa"/>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FF33CC"/>
                <w:lang w:eastAsia="es-EC"/>
              </w:rPr>
            </w:pPr>
            <w:r w:rsidRPr="00BE7C7C">
              <w:rPr>
                <w:rFonts w:ascii="Calibri" w:eastAsia="Times New Roman" w:hAnsi="Calibri" w:cs="Calibri"/>
                <w:color w:val="FF33CC"/>
                <w:lang w:eastAsia="es-EC"/>
              </w:rPr>
              <w:t>0</w:t>
            </w:r>
          </w:p>
        </w:tc>
      </w:tr>
      <w:tr w:rsidR="006D5EB6" w:rsidRPr="00BE7C7C" w:rsidTr="006D5EB6">
        <w:trPr>
          <w:trHeight w:val="299"/>
        </w:trPr>
        <w:tc>
          <w:tcPr>
            <w:tcW w:w="4136" w:type="dxa"/>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Utilidad del Ejercicio</w:t>
            </w:r>
          </w:p>
        </w:tc>
        <w:tc>
          <w:tcPr>
            <w:tcW w:w="1133" w:type="dxa"/>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000000"/>
                <w:lang w:eastAsia="es-EC"/>
              </w:rPr>
            </w:pPr>
            <w:r w:rsidRPr="00BE7C7C">
              <w:rPr>
                <w:rFonts w:ascii="Calibri" w:eastAsia="Times New Roman" w:hAnsi="Calibri" w:cs="Calibri"/>
                <w:color w:val="000000"/>
                <w:lang w:eastAsia="es-EC"/>
              </w:rPr>
              <w:t>39.772,55</w:t>
            </w:r>
          </w:p>
        </w:tc>
        <w:tc>
          <w:tcPr>
            <w:tcW w:w="1586" w:type="dxa"/>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FF33CC"/>
                <w:lang w:eastAsia="es-EC"/>
              </w:rPr>
            </w:pPr>
            <w:r w:rsidRPr="00BE7C7C">
              <w:rPr>
                <w:rFonts w:ascii="Calibri" w:eastAsia="Times New Roman" w:hAnsi="Calibri" w:cs="Calibri"/>
                <w:color w:val="FF33CC"/>
                <w:lang w:eastAsia="es-EC"/>
              </w:rPr>
              <w:t>8,45</w:t>
            </w:r>
          </w:p>
        </w:tc>
      </w:tr>
      <w:tr w:rsidR="006D5EB6" w:rsidRPr="00BE7C7C" w:rsidTr="006D5EB6">
        <w:trPr>
          <w:trHeight w:val="299"/>
        </w:trPr>
        <w:tc>
          <w:tcPr>
            <w:tcW w:w="4136" w:type="dxa"/>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 </w:t>
            </w:r>
          </w:p>
        </w:tc>
        <w:tc>
          <w:tcPr>
            <w:tcW w:w="1133" w:type="dxa"/>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 </w:t>
            </w:r>
          </w:p>
        </w:tc>
        <w:tc>
          <w:tcPr>
            <w:tcW w:w="1586" w:type="dxa"/>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FF33CC"/>
                <w:lang w:eastAsia="es-EC"/>
              </w:rPr>
            </w:pPr>
            <w:r w:rsidRPr="00BE7C7C">
              <w:rPr>
                <w:rFonts w:ascii="Calibri" w:eastAsia="Times New Roman" w:hAnsi="Calibri" w:cs="Calibri"/>
                <w:color w:val="FF33CC"/>
                <w:lang w:eastAsia="es-EC"/>
              </w:rPr>
              <w:t> </w:t>
            </w:r>
          </w:p>
        </w:tc>
      </w:tr>
      <w:tr w:rsidR="006D5EB6" w:rsidRPr="00BE7C7C" w:rsidTr="006D5EB6">
        <w:trPr>
          <w:trHeight w:val="299"/>
        </w:trPr>
        <w:tc>
          <w:tcPr>
            <w:tcW w:w="4136" w:type="dxa"/>
            <w:shd w:val="clear" w:color="auto" w:fill="auto"/>
            <w:noWrap/>
            <w:vAlign w:val="bottom"/>
            <w:hideMark/>
          </w:tcPr>
          <w:p w:rsidR="006D5EB6" w:rsidRPr="00BE7C7C" w:rsidRDefault="006D5EB6" w:rsidP="006D5EB6">
            <w:pPr>
              <w:spacing w:after="0" w:line="240" w:lineRule="auto"/>
              <w:rPr>
                <w:rFonts w:ascii="Calibri" w:eastAsia="Times New Roman" w:hAnsi="Calibri" w:cs="Calibri"/>
                <w:b/>
                <w:bCs/>
                <w:color w:val="000000"/>
                <w:lang w:eastAsia="es-EC"/>
              </w:rPr>
            </w:pPr>
            <w:r w:rsidRPr="00BE7C7C">
              <w:rPr>
                <w:rFonts w:ascii="Calibri" w:eastAsia="Times New Roman" w:hAnsi="Calibri" w:cs="Calibri"/>
                <w:b/>
                <w:bCs/>
                <w:color w:val="000000"/>
                <w:lang w:eastAsia="es-EC"/>
              </w:rPr>
              <w:t>TOTAL PATRIMONIO</w:t>
            </w:r>
          </w:p>
        </w:tc>
        <w:tc>
          <w:tcPr>
            <w:tcW w:w="1133" w:type="dxa"/>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000000"/>
                <w:lang w:eastAsia="es-EC"/>
              </w:rPr>
            </w:pPr>
            <w:r w:rsidRPr="00BE7C7C">
              <w:rPr>
                <w:rFonts w:ascii="Calibri" w:eastAsia="Times New Roman" w:hAnsi="Calibri" w:cs="Calibri"/>
                <w:color w:val="000000"/>
                <w:lang w:eastAsia="es-EC"/>
              </w:rPr>
              <w:t>464.629,81</w:t>
            </w:r>
          </w:p>
        </w:tc>
        <w:tc>
          <w:tcPr>
            <w:tcW w:w="1586" w:type="dxa"/>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FF33CC"/>
                <w:lang w:eastAsia="es-EC"/>
              </w:rPr>
            </w:pPr>
            <w:r w:rsidRPr="00BE7C7C">
              <w:rPr>
                <w:rFonts w:ascii="Calibri" w:eastAsia="Times New Roman" w:hAnsi="Calibri" w:cs="Calibri"/>
                <w:color w:val="FF33CC"/>
                <w:lang w:eastAsia="es-EC"/>
              </w:rPr>
              <w:t> </w:t>
            </w:r>
          </w:p>
        </w:tc>
      </w:tr>
      <w:tr w:rsidR="006D5EB6" w:rsidRPr="00BE7C7C" w:rsidTr="006D5EB6">
        <w:trPr>
          <w:trHeight w:val="299"/>
        </w:trPr>
        <w:tc>
          <w:tcPr>
            <w:tcW w:w="4136" w:type="dxa"/>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 </w:t>
            </w:r>
          </w:p>
        </w:tc>
        <w:tc>
          <w:tcPr>
            <w:tcW w:w="1133" w:type="dxa"/>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000000"/>
                <w:lang w:eastAsia="es-EC"/>
              </w:rPr>
            </w:pPr>
            <w:r w:rsidRPr="00BE7C7C">
              <w:rPr>
                <w:rFonts w:ascii="Calibri" w:eastAsia="Times New Roman" w:hAnsi="Calibri" w:cs="Calibri"/>
                <w:color w:val="000000"/>
                <w:lang w:eastAsia="es-EC"/>
              </w:rPr>
              <w:t> </w:t>
            </w:r>
          </w:p>
        </w:tc>
        <w:tc>
          <w:tcPr>
            <w:tcW w:w="1586" w:type="dxa"/>
            <w:shd w:val="clear" w:color="auto" w:fill="auto"/>
            <w:noWrap/>
            <w:vAlign w:val="bottom"/>
            <w:hideMark/>
          </w:tcPr>
          <w:p w:rsidR="006D5EB6" w:rsidRPr="00BE7C7C" w:rsidRDefault="006D5EB6" w:rsidP="006D5EB6">
            <w:pPr>
              <w:spacing w:after="0" w:line="240" w:lineRule="auto"/>
              <w:rPr>
                <w:rFonts w:ascii="Calibri" w:eastAsia="Times New Roman" w:hAnsi="Calibri" w:cs="Calibri"/>
                <w:color w:val="FF33CC"/>
                <w:lang w:eastAsia="es-EC"/>
              </w:rPr>
            </w:pPr>
            <w:r w:rsidRPr="00BE7C7C">
              <w:rPr>
                <w:rFonts w:ascii="Calibri" w:eastAsia="Times New Roman" w:hAnsi="Calibri" w:cs="Calibri"/>
                <w:color w:val="FF33CC"/>
                <w:lang w:eastAsia="es-EC"/>
              </w:rPr>
              <w:t> </w:t>
            </w:r>
          </w:p>
        </w:tc>
      </w:tr>
      <w:tr w:rsidR="006D5EB6" w:rsidRPr="00BE7C7C" w:rsidTr="006D5EB6">
        <w:trPr>
          <w:trHeight w:val="299"/>
        </w:trPr>
        <w:tc>
          <w:tcPr>
            <w:tcW w:w="4136" w:type="dxa"/>
            <w:shd w:val="clear" w:color="auto" w:fill="auto"/>
            <w:noWrap/>
            <w:vAlign w:val="bottom"/>
            <w:hideMark/>
          </w:tcPr>
          <w:p w:rsidR="006D5EB6" w:rsidRPr="00BE7C7C" w:rsidRDefault="006D5EB6" w:rsidP="006D5EB6">
            <w:pPr>
              <w:spacing w:after="0" w:line="240" w:lineRule="auto"/>
              <w:rPr>
                <w:rFonts w:ascii="Calibri" w:eastAsia="Times New Roman" w:hAnsi="Calibri" w:cs="Calibri"/>
                <w:b/>
                <w:bCs/>
                <w:color w:val="000000"/>
                <w:lang w:eastAsia="es-EC"/>
              </w:rPr>
            </w:pPr>
            <w:r w:rsidRPr="00BE7C7C">
              <w:rPr>
                <w:rFonts w:ascii="Calibri" w:eastAsia="Times New Roman" w:hAnsi="Calibri" w:cs="Calibri"/>
                <w:b/>
                <w:bCs/>
                <w:color w:val="000000"/>
                <w:lang w:eastAsia="es-EC"/>
              </w:rPr>
              <w:t>TOTAL PASIVO + PATRIMONIO</w:t>
            </w:r>
          </w:p>
        </w:tc>
        <w:tc>
          <w:tcPr>
            <w:tcW w:w="1133" w:type="dxa"/>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000000"/>
                <w:lang w:eastAsia="es-EC"/>
              </w:rPr>
            </w:pPr>
            <w:r w:rsidRPr="00BE7C7C">
              <w:rPr>
                <w:rFonts w:ascii="Calibri" w:eastAsia="Times New Roman" w:hAnsi="Calibri" w:cs="Calibri"/>
                <w:color w:val="000000"/>
                <w:lang w:eastAsia="es-EC"/>
              </w:rPr>
              <w:t>470.738,11</w:t>
            </w:r>
          </w:p>
        </w:tc>
        <w:tc>
          <w:tcPr>
            <w:tcW w:w="1586" w:type="dxa"/>
            <w:shd w:val="clear" w:color="auto" w:fill="auto"/>
            <w:noWrap/>
            <w:vAlign w:val="bottom"/>
            <w:hideMark/>
          </w:tcPr>
          <w:p w:rsidR="006D5EB6" w:rsidRPr="00BE7C7C" w:rsidRDefault="006D5EB6" w:rsidP="006D5EB6">
            <w:pPr>
              <w:spacing w:after="0" w:line="240" w:lineRule="auto"/>
              <w:jc w:val="right"/>
              <w:rPr>
                <w:rFonts w:ascii="Calibri" w:eastAsia="Times New Roman" w:hAnsi="Calibri" w:cs="Calibri"/>
                <w:color w:val="FF33CC"/>
                <w:lang w:eastAsia="es-EC"/>
              </w:rPr>
            </w:pPr>
            <w:r w:rsidRPr="00BE7C7C">
              <w:rPr>
                <w:rFonts w:ascii="Calibri" w:eastAsia="Times New Roman" w:hAnsi="Calibri" w:cs="Calibri"/>
                <w:color w:val="FF33CC"/>
                <w:lang w:eastAsia="es-EC"/>
              </w:rPr>
              <w:t>100</w:t>
            </w:r>
          </w:p>
        </w:tc>
      </w:tr>
    </w:tbl>
    <w:p w:rsidR="006D5EB6" w:rsidRDefault="006D5EB6" w:rsidP="006D5EB6">
      <w:pPr>
        <w:spacing w:after="0" w:line="240" w:lineRule="auto"/>
        <w:jc w:val="center"/>
        <w:rPr>
          <w:rFonts w:ascii="Calibri" w:eastAsia="Times New Roman" w:hAnsi="Calibri" w:cs="Calibri"/>
          <w:b/>
          <w:bCs/>
          <w:color w:val="4F81BD"/>
          <w:lang w:eastAsia="es-EC"/>
        </w:rPr>
      </w:pPr>
    </w:p>
    <w:p w:rsidR="006D5EB6" w:rsidRDefault="006D5EB6" w:rsidP="006D5EB6">
      <w:pPr>
        <w:spacing w:after="0" w:line="240" w:lineRule="auto"/>
        <w:jc w:val="center"/>
        <w:rPr>
          <w:rFonts w:ascii="Calibri" w:eastAsia="Times New Roman" w:hAnsi="Calibri" w:cs="Calibri"/>
          <w:b/>
          <w:bCs/>
          <w:lang w:eastAsia="es-EC"/>
        </w:rPr>
      </w:pPr>
      <w:r>
        <w:rPr>
          <w:rFonts w:ascii="Calibri" w:eastAsia="Times New Roman" w:hAnsi="Calibri" w:cs="Calibri"/>
          <w:b/>
          <w:bCs/>
          <w:lang w:eastAsia="es-EC"/>
        </w:rPr>
        <w:t>ESTRUCTURA ECONÓMICA</w:t>
      </w:r>
    </w:p>
    <w:p w:rsidR="006D5EB6" w:rsidRPr="00EC6A4E" w:rsidRDefault="006D5EB6" w:rsidP="006D5EB6">
      <w:pPr>
        <w:spacing w:after="0" w:line="240" w:lineRule="auto"/>
        <w:jc w:val="center"/>
        <w:rPr>
          <w:rFonts w:ascii="Calibri" w:eastAsia="Times New Roman" w:hAnsi="Calibri" w:cs="Calibri"/>
          <w:b/>
          <w:bCs/>
          <w:lang w:eastAsia="es-EC"/>
        </w:rPr>
      </w:pPr>
    </w:p>
    <w:p w:rsidR="006D5EB6" w:rsidRDefault="006D5EB6" w:rsidP="006D5EB6">
      <w:pPr>
        <w:spacing w:after="0" w:line="240" w:lineRule="auto"/>
        <w:jc w:val="center"/>
        <w:rPr>
          <w:rFonts w:ascii="Calibri" w:eastAsia="Times New Roman" w:hAnsi="Calibri" w:cs="Calibri"/>
          <w:b/>
          <w:bCs/>
          <w:color w:val="4F81BD"/>
          <w:lang w:eastAsia="es-EC"/>
        </w:rPr>
      </w:pPr>
      <w:r w:rsidRPr="00380F7F">
        <w:rPr>
          <w:rFonts w:ascii="Calibri" w:eastAsia="Times New Roman" w:hAnsi="Calibri" w:cs="Calibri"/>
          <w:b/>
          <w:bCs/>
          <w:color w:val="4F81BD"/>
          <w:lang w:eastAsia="es-EC"/>
        </w:rPr>
        <w:t>Análisis de Tendencias Método Vertical</w:t>
      </w:r>
    </w:p>
    <w:p w:rsidR="006D5EB6" w:rsidRPr="00380F7F" w:rsidRDefault="006D5EB6" w:rsidP="006D5EB6">
      <w:pPr>
        <w:spacing w:after="0" w:line="240" w:lineRule="auto"/>
        <w:jc w:val="center"/>
        <w:rPr>
          <w:rFonts w:ascii="Calibri" w:eastAsia="Times New Roman" w:hAnsi="Calibri" w:cs="Calibri"/>
          <w:b/>
          <w:bCs/>
          <w:color w:val="4F81BD"/>
          <w:lang w:eastAsia="es-EC"/>
        </w:rPr>
      </w:pPr>
    </w:p>
    <w:tbl>
      <w:tblPr>
        <w:tblW w:w="3480" w:type="dxa"/>
        <w:jc w:val="center"/>
        <w:tblCellMar>
          <w:left w:w="70" w:type="dxa"/>
          <w:right w:w="70" w:type="dxa"/>
        </w:tblCellMar>
        <w:tblLook w:val="04A0"/>
      </w:tblPr>
      <w:tblGrid>
        <w:gridCol w:w="2300"/>
        <w:gridCol w:w="1180"/>
      </w:tblGrid>
      <w:tr w:rsidR="006D5EB6" w:rsidRPr="00380F7F" w:rsidTr="006D5EB6">
        <w:trPr>
          <w:trHeight w:val="315"/>
          <w:jc w:val="center"/>
        </w:trPr>
        <w:tc>
          <w:tcPr>
            <w:tcW w:w="2300" w:type="dxa"/>
            <w:tcBorders>
              <w:top w:val="single" w:sz="8" w:space="0" w:color="4F81BD"/>
              <w:left w:val="single" w:sz="8" w:space="0" w:color="4F81BD"/>
              <w:bottom w:val="single" w:sz="8" w:space="0" w:color="4F81BD"/>
              <w:right w:val="single" w:sz="8" w:space="0" w:color="4F81BD"/>
            </w:tcBorders>
            <w:shd w:val="clear" w:color="auto" w:fill="auto"/>
            <w:noWrap/>
            <w:vAlign w:val="bottom"/>
            <w:hideMark/>
          </w:tcPr>
          <w:p w:rsidR="006D5EB6" w:rsidRPr="00380F7F" w:rsidRDefault="006D5EB6" w:rsidP="006D5EB6">
            <w:pPr>
              <w:spacing w:after="0" w:line="240" w:lineRule="auto"/>
              <w:rPr>
                <w:rFonts w:ascii="Calibri" w:eastAsia="Times New Roman" w:hAnsi="Calibri" w:cs="Calibri"/>
                <w:b/>
                <w:bCs/>
                <w:color w:val="9966FF"/>
                <w:lang w:eastAsia="es-EC"/>
              </w:rPr>
            </w:pPr>
            <w:r w:rsidRPr="00380F7F">
              <w:rPr>
                <w:rFonts w:ascii="Calibri" w:eastAsia="Times New Roman" w:hAnsi="Calibri" w:cs="Calibri"/>
                <w:b/>
                <w:bCs/>
                <w:color w:val="9966FF"/>
                <w:lang w:eastAsia="es-EC"/>
              </w:rPr>
              <w:t>RUBROS</w:t>
            </w:r>
          </w:p>
        </w:tc>
        <w:tc>
          <w:tcPr>
            <w:tcW w:w="1180" w:type="dxa"/>
            <w:tcBorders>
              <w:top w:val="single" w:sz="8" w:space="0" w:color="4F81BD"/>
              <w:left w:val="nil"/>
              <w:bottom w:val="single" w:sz="8" w:space="0" w:color="4F81BD"/>
              <w:right w:val="single" w:sz="8" w:space="0" w:color="4F81BD"/>
            </w:tcBorders>
            <w:shd w:val="clear" w:color="auto" w:fill="auto"/>
            <w:noWrap/>
            <w:vAlign w:val="bottom"/>
            <w:hideMark/>
          </w:tcPr>
          <w:p w:rsidR="006D5EB6" w:rsidRPr="00380F7F" w:rsidRDefault="006D5EB6" w:rsidP="006D5EB6">
            <w:pPr>
              <w:spacing w:after="0" w:line="240" w:lineRule="auto"/>
              <w:rPr>
                <w:rFonts w:ascii="Calibri" w:eastAsia="Times New Roman" w:hAnsi="Calibri" w:cs="Calibri"/>
                <w:b/>
                <w:bCs/>
                <w:color w:val="9966FF"/>
                <w:lang w:eastAsia="es-EC"/>
              </w:rPr>
            </w:pPr>
            <w:r w:rsidRPr="00380F7F">
              <w:rPr>
                <w:rFonts w:ascii="Calibri" w:eastAsia="Times New Roman" w:hAnsi="Calibri" w:cs="Calibri"/>
                <w:b/>
                <w:bCs/>
                <w:color w:val="9966FF"/>
                <w:lang w:eastAsia="es-EC"/>
              </w:rPr>
              <w:t>%</w:t>
            </w:r>
          </w:p>
        </w:tc>
      </w:tr>
      <w:tr w:rsidR="006D5EB6" w:rsidRPr="00380F7F" w:rsidTr="006D5EB6">
        <w:trPr>
          <w:trHeight w:val="300"/>
          <w:jc w:val="center"/>
        </w:trPr>
        <w:tc>
          <w:tcPr>
            <w:tcW w:w="2300" w:type="dxa"/>
            <w:tcBorders>
              <w:top w:val="nil"/>
              <w:left w:val="single" w:sz="8" w:space="0" w:color="4F81BD"/>
              <w:bottom w:val="single" w:sz="4" w:space="0" w:color="666699"/>
              <w:right w:val="single" w:sz="8" w:space="0" w:color="4F81BD"/>
            </w:tcBorders>
            <w:shd w:val="clear" w:color="auto" w:fill="auto"/>
            <w:noWrap/>
            <w:vAlign w:val="bottom"/>
            <w:hideMark/>
          </w:tcPr>
          <w:p w:rsidR="006D5EB6" w:rsidRPr="00380F7F" w:rsidRDefault="006D5EB6" w:rsidP="006D5EB6">
            <w:pPr>
              <w:spacing w:after="0" w:line="240" w:lineRule="auto"/>
              <w:rPr>
                <w:rFonts w:ascii="Calibri" w:eastAsia="Times New Roman" w:hAnsi="Calibri" w:cs="Calibri"/>
                <w:color w:val="000000"/>
                <w:lang w:eastAsia="es-EC"/>
              </w:rPr>
            </w:pPr>
            <w:r w:rsidRPr="00380F7F">
              <w:rPr>
                <w:rFonts w:ascii="Calibri" w:eastAsia="Times New Roman" w:hAnsi="Calibri" w:cs="Calibri"/>
                <w:color w:val="000000"/>
                <w:lang w:eastAsia="es-EC"/>
              </w:rPr>
              <w:t>Caja</w:t>
            </w:r>
          </w:p>
        </w:tc>
        <w:tc>
          <w:tcPr>
            <w:tcW w:w="1180" w:type="dxa"/>
            <w:tcBorders>
              <w:top w:val="nil"/>
              <w:left w:val="nil"/>
              <w:bottom w:val="single" w:sz="4" w:space="0" w:color="666699"/>
              <w:right w:val="single" w:sz="8" w:space="0" w:color="4F81BD"/>
            </w:tcBorders>
            <w:shd w:val="clear" w:color="auto" w:fill="auto"/>
            <w:noWrap/>
            <w:vAlign w:val="bottom"/>
            <w:hideMark/>
          </w:tcPr>
          <w:p w:rsidR="006D5EB6" w:rsidRPr="00380F7F" w:rsidRDefault="006D5EB6" w:rsidP="006D5EB6">
            <w:pPr>
              <w:spacing w:after="0" w:line="240" w:lineRule="auto"/>
              <w:rPr>
                <w:rFonts w:ascii="Calibri" w:eastAsia="Times New Roman" w:hAnsi="Calibri" w:cs="Calibri"/>
                <w:color w:val="000000"/>
                <w:lang w:eastAsia="es-EC"/>
              </w:rPr>
            </w:pPr>
            <w:r w:rsidRPr="00380F7F">
              <w:rPr>
                <w:rFonts w:ascii="Calibri" w:eastAsia="Times New Roman" w:hAnsi="Calibri" w:cs="Calibri"/>
                <w:color w:val="000000"/>
                <w:lang w:eastAsia="es-EC"/>
              </w:rPr>
              <w:t>0</w:t>
            </w:r>
          </w:p>
        </w:tc>
      </w:tr>
      <w:tr w:rsidR="006D5EB6" w:rsidRPr="00380F7F" w:rsidTr="006D5EB6">
        <w:trPr>
          <w:trHeight w:val="300"/>
          <w:jc w:val="center"/>
        </w:trPr>
        <w:tc>
          <w:tcPr>
            <w:tcW w:w="2300" w:type="dxa"/>
            <w:tcBorders>
              <w:top w:val="nil"/>
              <w:left w:val="single" w:sz="8" w:space="0" w:color="4F81BD"/>
              <w:bottom w:val="single" w:sz="4" w:space="0" w:color="666699"/>
              <w:right w:val="single" w:sz="8" w:space="0" w:color="4F81BD"/>
            </w:tcBorders>
            <w:shd w:val="clear" w:color="auto" w:fill="auto"/>
            <w:noWrap/>
            <w:vAlign w:val="bottom"/>
            <w:hideMark/>
          </w:tcPr>
          <w:p w:rsidR="006D5EB6" w:rsidRPr="00380F7F" w:rsidRDefault="006D5EB6" w:rsidP="006D5EB6">
            <w:pPr>
              <w:spacing w:after="0" w:line="240" w:lineRule="auto"/>
              <w:rPr>
                <w:rFonts w:ascii="Calibri" w:eastAsia="Times New Roman" w:hAnsi="Calibri" w:cs="Calibri"/>
                <w:color w:val="000000"/>
                <w:lang w:eastAsia="es-EC"/>
              </w:rPr>
            </w:pPr>
            <w:r w:rsidRPr="00380F7F">
              <w:rPr>
                <w:rFonts w:ascii="Calibri" w:eastAsia="Times New Roman" w:hAnsi="Calibri" w:cs="Calibri"/>
                <w:color w:val="000000"/>
                <w:lang w:eastAsia="es-EC"/>
              </w:rPr>
              <w:t>Bancos</w:t>
            </w:r>
          </w:p>
        </w:tc>
        <w:tc>
          <w:tcPr>
            <w:tcW w:w="1180" w:type="dxa"/>
            <w:tcBorders>
              <w:top w:val="nil"/>
              <w:left w:val="nil"/>
              <w:bottom w:val="single" w:sz="4" w:space="0" w:color="666699"/>
              <w:right w:val="single" w:sz="8" w:space="0" w:color="4F81BD"/>
            </w:tcBorders>
            <w:shd w:val="clear" w:color="auto" w:fill="auto"/>
            <w:noWrap/>
            <w:vAlign w:val="bottom"/>
            <w:hideMark/>
          </w:tcPr>
          <w:p w:rsidR="006D5EB6" w:rsidRPr="00380F7F" w:rsidRDefault="006D5EB6" w:rsidP="006D5EB6">
            <w:pPr>
              <w:spacing w:after="0" w:line="240" w:lineRule="auto"/>
              <w:rPr>
                <w:rFonts w:ascii="Calibri" w:eastAsia="Times New Roman" w:hAnsi="Calibri" w:cs="Calibri"/>
                <w:color w:val="000000"/>
                <w:lang w:eastAsia="es-EC"/>
              </w:rPr>
            </w:pPr>
            <w:r w:rsidRPr="00380F7F">
              <w:rPr>
                <w:rFonts w:ascii="Calibri" w:eastAsia="Times New Roman" w:hAnsi="Calibri" w:cs="Calibri"/>
                <w:color w:val="000000"/>
                <w:lang w:eastAsia="es-EC"/>
              </w:rPr>
              <w:t>5,86</w:t>
            </w:r>
          </w:p>
        </w:tc>
      </w:tr>
      <w:tr w:rsidR="006D5EB6" w:rsidRPr="00380F7F" w:rsidTr="006D5EB6">
        <w:trPr>
          <w:trHeight w:val="300"/>
          <w:jc w:val="center"/>
        </w:trPr>
        <w:tc>
          <w:tcPr>
            <w:tcW w:w="2300" w:type="dxa"/>
            <w:tcBorders>
              <w:top w:val="nil"/>
              <w:left w:val="single" w:sz="8" w:space="0" w:color="4F81BD"/>
              <w:bottom w:val="nil"/>
              <w:right w:val="single" w:sz="8" w:space="0" w:color="4F81BD"/>
            </w:tcBorders>
            <w:shd w:val="clear" w:color="auto" w:fill="auto"/>
            <w:noWrap/>
            <w:vAlign w:val="bottom"/>
            <w:hideMark/>
          </w:tcPr>
          <w:p w:rsidR="006D5EB6" w:rsidRPr="00380F7F" w:rsidRDefault="006D5EB6" w:rsidP="006D5EB6">
            <w:pPr>
              <w:spacing w:after="0" w:line="240" w:lineRule="auto"/>
              <w:rPr>
                <w:rFonts w:ascii="Calibri" w:eastAsia="Times New Roman" w:hAnsi="Calibri" w:cs="Calibri"/>
                <w:color w:val="000000"/>
                <w:lang w:eastAsia="es-EC"/>
              </w:rPr>
            </w:pPr>
            <w:r w:rsidRPr="00380F7F">
              <w:rPr>
                <w:rFonts w:ascii="Calibri" w:eastAsia="Times New Roman" w:hAnsi="Calibri" w:cs="Calibri"/>
                <w:color w:val="000000"/>
                <w:lang w:eastAsia="es-EC"/>
              </w:rPr>
              <w:t>Ctas. Por Cobrar</w:t>
            </w:r>
          </w:p>
        </w:tc>
        <w:tc>
          <w:tcPr>
            <w:tcW w:w="1180" w:type="dxa"/>
            <w:tcBorders>
              <w:top w:val="nil"/>
              <w:left w:val="nil"/>
              <w:bottom w:val="nil"/>
              <w:right w:val="single" w:sz="8" w:space="0" w:color="4F81BD"/>
            </w:tcBorders>
            <w:shd w:val="clear" w:color="auto" w:fill="auto"/>
            <w:noWrap/>
            <w:vAlign w:val="bottom"/>
            <w:hideMark/>
          </w:tcPr>
          <w:p w:rsidR="006D5EB6" w:rsidRPr="00380F7F" w:rsidRDefault="006D5EB6" w:rsidP="006D5EB6">
            <w:pPr>
              <w:spacing w:after="0" w:line="240" w:lineRule="auto"/>
              <w:rPr>
                <w:rFonts w:ascii="Calibri" w:eastAsia="Times New Roman" w:hAnsi="Calibri" w:cs="Calibri"/>
                <w:color w:val="000000"/>
                <w:lang w:eastAsia="es-EC"/>
              </w:rPr>
            </w:pPr>
            <w:r w:rsidRPr="00380F7F">
              <w:rPr>
                <w:rFonts w:ascii="Calibri" w:eastAsia="Times New Roman" w:hAnsi="Calibri" w:cs="Calibri"/>
                <w:color w:val="000000"/>
                <w:lang w:eastAsia="es-EC"/>
              </w:rPr>
              <w:t>0,46</w:t>
            </w:r>
          </w:p>
        </w:tc>
      </w:tr>
      <w:tr w:rsidR="006D5EB6" w:rsidRPr="00380F7F" w:rsidTr="006D5EB6">
        <w:trPr>
          <w:trHeight w:val="300"/>
          <w:jc w:val="center"/>
        </w:trPr>
        <w:tc>
          <w:tcPr>
            <w:tcW w:w="2300" w:type="dxa"/>
            <w:tcBorders>
              <w:top w:val="single" w:sz="4" w:space="0" w:color="666699"/>
              <w:left w:val="single" w:sz="8" w:space="0" w:color="4F81BD"/>
              <w:bottom w:val="single" w:sz="4" w:space="0" w:color="666699"/>
              <w:right w:val="single" w:sz="8" w:space="0" w:color="4F81BD"/>
            </w:tcBorders>
            <w:shd w:val="clear" w:color="auto" w:fill="auto"/>
            <w:noWrap/>
            <w:vAlign w:val="bottom"/>
            <w:hideMark/>
          </w:tcPr>
          <w:p w:rsidR="006D5EB6" w:rsidRPr="00380F7F" w:rsidRDefault="006D5EB6" w:rsidP="006D5EB6">
            <w:pPr>
              <w:spacing w:after="0" w:line="240" w:lineRule="auto"/>
              <w:rPr>
                <w:rFonts w:ascii="Calibri" w:eastAsia="Times New Roman" w:hAnsi="Calibri" w:cs="Calibri"/>
                <w:color w:val="000000"/>
                <w:lang w:eastAsia="es-EC"/>
              </w:rPr>
            </w:pPr>
            <w:r w:rsidRPr="00380F7F">
              <w:rPr>
                <w:rFonts w:ascii="Calibri" w:eastAsia="Times New Roman" w:hAnsi="Calibri" w:cs="Calibri"/>
                <w:color w:val="000000"/>
                <w:lang w:eastAsia="es-EC"/>
              </w:rPr>
              <w:t>Prest. Socios</w:t>
            </w:r>
          </w:p>
        </w:tc>
        <w:tc>
          <w:tcPr>
            <w:tcW w:w="1180" w:type="dxa"/>
            <w:tcBorders>
              <w:top w:val="single" w:sz="4" w:space="0" w:color="666699"/>
              <w:left w:val="nil"/>
              <w:bottom w:val="single" w:sz="4" w:space="0" w:color="666699"/>
              <w:right w:val="single" w:sz="8" w:space="0" w:color="4F81BD"/>
            </w:tcBorders>
            <w:shd w:val="clear" w:color="auto" w:fill="auto"/>
            <w:noWrap/>
            <w:vAlign w:val="bottom"/>
            <w:hideMark/>
          </w:tcPr>
          <w:p w:rsidR="006D5EB6" w:rsidRPr="00380F7F" w:rsidRDefault="006D5EB6" w:rsidP="006D5EB6">
            <w:pPr>
              <w:spacing w:after="0" w:line="240" w:lineRule="auto"/>
              <w:rPr>
                <w:rFonts w:ascii="Calibri" w:eastAsia="Times New Roman" w:hAnsi="Calibri" w:cs="Calibri"/>
                <w:color w:val="000000"/>
                <w:lang w:eastAsia="es-EC"/>
              </w:rPr>
            </w:pPr>
            <w:r w:rsidRPr="00380F7F">
              <w:rPr>
                <w:rFonts w:ascii="Calibri" w:eastAsia="Times New Roman" w:hAnsi="Calibri" w:cs="Calibri"/>
                <w:color w:val="000000"/>
                <w:lang w:eastAsia="es-EC"/>
              </w:rPr>
              <w:t>27,23</w:t>
            </w:r>
          </w:p>
        </w:tc>
      </w:tr>
      <w:tr w:rsidR="006D5EB6" w:rsidRPr="00380F7F" w:rsidTr="006D5EB6">
        <w:trPr>
          <w:trHeight w:val="300"/>
          <w:jc w:val="center"/>
        </w:trPr>
        <w:tc>
          <w:tcPr>
            <w:tcW w:w="2300" w:type="dxa"/>
            <w:tcBorders>
              <w:top w:val="nil"/>
              <w:left w:val="single" w:sz="8" w:space="0" w:color="4F81BD"/>
              <w:bottom w:val="single" w:sz="4" w:space="0" w:color="666699"/>
              <w:right w:val="single" w:sz="8" w:space="0" w:color="4F81BD"/>
            </w:tcBorders>
            <w:shd w:val="clear" w:color="auto" w:fill="auto"/>
            <w:noWrap/>
            <w:vAlign w:val="bottom"/>
            <w:hideMark/>
          </w:tcPr>
          <w:p w:rsidR="006D5EB6" w:rsidRPr="00380F7F" w:rsidRDefault="006D5EB6" w:rsidP="006D5EB6">
            <w:pPr>
              <w:spacing w:after="0" w:line="240" w:lineRule="auto"/>
              <w:rPr>
                <w:rFonts w:ascii="Calibri" w:eastAsia="Times New Roman" w:hAnsi="Calibri" w:cs="Calibri"/>
                <w:color w:val="000000"/>
                <w:lang w:eastAsia="es-EC"/>
              </w:rPr>
            </w:pPr>
            <w:r w:rsidRPr="00380F7F">
              <w:rPr>
                <w:rFonts w:ascii="Calibri" w:eastAsia="Times New Roman" w:hAnsi="Calibri" w:cs="Calibri"/>
                <w:color w:val="000000"/>
                <w:lang w:eastAsia="es-EC"/>
              </w:rPr>
              <w:t>Inversiones Pólizas</w:t>
            </w:r>
          </w:p>
        </w:tc>
        <w:tc>
          <w:tcPr>
            <w:tcW w:w="1180" w:type="dxa"/>
            <w:tcBorders>
              <w:top w:val="nil"/>
              <w:left w:val="nil"/>
              <w:bottom w:val="single" w:sz="4" w:space="0" w:color="666699"/>
              <w:right w:val="single" w:sz="8" w:space="0" w:color="4F81BD"/>
            </w:tcBorders>
            <w:shd w:val="clear" w:color="auto" w:fill="auto"/>
            <w:noWrap/>
            <w:vAlign w:val="bottom"/>
            <w:hideMark/>
          </w:tcPr>
          <w:p w:rsidR="006D5EB6" w:rsidRPr="00380F7F" w:rsidRDefault="006D5EB6" w:rsidP="006D5EB6">
            <w:pPr>
              <w:spacing w:after="0" w:line="240" w:lineRule="auto"/>
              <w:rPr>
                <w:rFonts w:ascii="Calibri" w:eastAsia="Times New Roman" w:hAnsi="Calibri" w:cs="Calibri"/>
                <w:color w:val="000000"/>
                <w:lang w:eastAsia="es-EC"/>
              </w:rPr>
            </w:pPr>
            <w:r w:rsidRPr="00380F7F">
              <w:rPr>
                <w:rFonts w:ascii="Calibri" w:eastAsia="Times New Roman" w:hAnsi="Calibri" w:cs="Calibri"/>
                <w:color w:val="000000"/>
                <w:lang w:eastAsia="es-EC"/>
              </w:rPr>
              <w:t>4,12</w:t>
            </w:r>
          </w:p>
        </w:tc>
      </w:tr>
      <w:tr w:rsidR="006D5EB6" w:rsidRPr="00380F7F" w:rsidTr="006D5EB6">
        <w:trPr>
          <w:trHeight w:val="300"/>
          <w:jc w:val="center"/>
        </w:trPr>
        <w:tc>
          <w:tcPr>
            <w:tcW w:w="2300" w:type="dxa"/>
            <w:tcBorders>
              <w:top w:val="nil"/>
              <w:left w:val="single" w:sz="8" w:space="0" w:color="4F81BD"/>
              <w:bottom w:val="single" w:sz="4" w:space="0" w:color="666699"/>
              <w:right w:val="single" w:sz="8" w:space="0" w:color="4F81BD"/>
            </w:tcBorders>
            <w:shd w:val="clear" w:color="auto" w:fill="auto"/>
            <w:noWrap/>
            <w:vAlign w:val="bottom"/>
            <w:hideMark/>
          </w:tcPr>
          <w:p w:rsidR="006D5EB6" w:rsidRPr="00380F7F" w:rsidRDefault="006D5EB6" w:rsidP="006D5EB6">
            <w:pPr>
              <w:spacing w:after="0" w:line="240" w:lineRule="auto"/>
              <w:rPr>
                <w:rFonts w:ascii="Calibri" w:eastAsia="Times New Roman" w:hAnsi="Calibri" w:cs="Calibri"/>
                <w:color w:val="000000"/>
                <w:lang w:eastAsia="es-EC"/>
              </w:rPr>
            </w:pPr>
            <w:r w:rsidRPr="00380F7F">
              <w:rPr>
                <w:rFonts w:ascii="Calibri" w:eastAsia="Times New Roman" w:hAnsi="Calibri" w:cs="Calibri"/>
                <w:color w:val="000000"/>
                <w:lang w:eastAsia="es-EC"/>
              </w:rPr>
              <w:t>Terrenos</w:t>
            </w:r>
          </w:p>
        </w:tc>
        <w:tc>
          <w:tcPr>
            <w:tcW w:w="1180" w:type="dxa"/>
            <w:tcBorders>
              <w:top w:val="nil"/>
              <w:left w:val="nil"/>
              <w:bottom w:val="single" w:sz="4" w:space="0" w:color="666699"/>
              <w:right w:val="single" w:sz="8" w:space="0" w:color="4F81BD"/>
            </w:tcBorders>
            <w:shd w:val="clear" w:color="auto" w:fill="auto"/>
            <w:noWrap/>
            <w:vAlign w:val="bottom"/>
            <w:hideMark/>
          </w:tcPr>
          <w:p w:rsidR="006D5EB6" w:rsidRPr="00380F7F" w:rsidRDefault="006D5EB6" w:rsidP="006D5EB6">
            <w:pPr>
              <w:spacing w:after="0" w:line="240" w:lineRule="auto"/>
              <w:rPr>
                <w:rFonts w:ascii="Calibri" w:eastAsia="Times New Roman" w:hAnsi="Calibri" w:cs="Calibri"/>
                <w:color w:val="000000"/>
                <w:lang w:eastAsia="es-EC"/>
              </w:rPr>
            </w:pPr>
            <w:r w:rsidRPr="00380F7F">
              <w:rPr>
                <w:rFonts w:ascii="Calibri" w:eastAsia="Times New Roman" w:hAnsi="Calibri" w:cs="Calibri"/>
                <w:color w:val="000000"/>
                <w:lang w:eastAsia="es-EC"/>
              </w:rPr>
              <w:t>10,60</w:t>
            </w:r>
          </w:p>
        </w:tc>
      </w:tr>
      <w:tr w:rsidR="006D5EB6" w:rsidRPr="00380F7F" w:rsidTr="006D5EB6">
        <w:trPr>
          <w:trHeight w:val="300"/>
          <w:jc w:val="center"/>
        </w:trPr>
        <w:tc>
          <w:tcPr>
            <w:tcW w:w="2300" w:type="dxa"/>
            <w:tcBorders>
              <w:top w:val="nil"/>
              <w:left w:val="single" w:sz="8" w:space="0" w:color="4F81BD"/>
              <w:bottom w:val="single" w:sz="4" w:space="0" w:color="666699"/>
              <w:right w:val="single" w:sz="8" w:space="0" w:color="4F81BD"/>
            </w:tcBorders>
            <w:shd w:val="clear" w:color="auto" w:fill="auto"/>
            <w:noWrap/>
            <w:vAlign w:val="bottom"/>
            <w:hideMark/>
          </w:tcPr>
          <w:p w:rsidR="006D5EB6" w:rsidRPr="00380F7F" w:rsidRDefault="006D5EB6" w:rsidP="006D5EB6">
            <w:pPr>
              <w:spacing w:after="0" w:line="240" w:lineRule="auto"/>
              <w:rPr>
                <w:rFonts w:ascii="Calibri" w:eastAsia="Times New Roman" w:hAnsi="Calibri" w:cs="Calibri"/>
                <w:color w:val="000000"/>
                <w:lang w:eastAsia="es-EC"/>
              </w:rPr>
            </w:pPr>
            <w:r w:rsidRPr="00380F7F">
              <w:rPr>
                <w:rFonts w:ascii="Calibri" w:eastAsia="Times New Roman" w:hAnsi="Calibri" w:cs="Calibri"/>
                <w:color w:val="000000"/>
                <w:lang w:eastAsia="es-EC"/>
              </w:rPr>
              <w:t>Muebles y Equip.</w:t>
            </w:r>
          </w:p>
        </w:tc>
        <w:tc>
          <w:tcPr>
            <w:tcW w:w="1180" w:type="dxa"/>
            <w:tcBorders>
              <w:top w:val="nil"/>
              <w:left w:val="nil"/>
              <w:bottom w:val="single" w:sz="4" w:space="0" w:color="666699"/>
              <w:right w:val="single" w:sz="8" w:space="0" w:color="4F81BD"/>
            </w:tcBorders>
            <w:shd w:val="clear" w:color="auto" w:fill="auto"/>
            <w:noWrap/>
            <w:vAlign w:val="bottom"/>
            <w:hideMark/>
          </w:tcPr>
          <w:p w:rsidR="006D5EB6" w:rsidRPr="00380F7F" w:rsidRDefault="006D5EB6" w:rsidP="006D5EB6">
            <w:pPr>
              <w:spacing w:after="0" w:line="240" w:lineRule="auto"/>
              <w:rPr>
                <w:rFonts w:ascii="Calibri" w:eastAsia="Times New Roman" w:hAnsi="Calibri" w:cs="Calibri"/>
                <w:color w:val="000000"/>
                <w:lang w:eastAsia="es-EC"/>
              </w:rPr>
            </w:pPr>
            <w:r w:rsidRPr="00380F7F">
              <w:rPr>
                <w:rFonts w:ascii="Calibri" w:eastAsia="Times New Roman" w:hAnsi="Calibri" w:cs="Calibri"/>
                <w:color w:val="000000"/>
                <w:lang w:eastAsia="es-EC"/>
              </w:rPr>
              <w:t>7,05</w:t>
            </w:r>
          </w:p>
        </w:tc>
      </w:tr>
      <w:tr w:rsidR="006D5EB6" w:rsidRPr="00380F7F" w:rsidTr="006D5EB6">
        <w:trPr>
          <w:trHeight w:val="300"/>
          <w:jc w:val="center"/>
        </w:trPr>
        <w:tc>
          <w:tcPr>
            <w:tcW w:w="2300" w:type="dxa"/>
            <w:tcBorders>
              <w:top w:val="nil"/>
              <w:left w:val="single" w:sz="8" w:space="0" w:color="4F81BD"/>
              <w:bottom w:val="single" w:sz="4" w:space="0" w:color="666699"/>
              <w:right w:val="single" w:sz="8" w:space="0" w:color="4F81BD"/>
            </w:tcBorders>
            <w:shd w:val="clear" w:color="auto" w:fill="auto"/>
            <w:noWrap/>
            <w:vAlign w:val="bottom"/>
            <w:hideMark/>
          </w:tcPr>
          <w:p w:rsidR="006D5EB6" w:rsidRPr="00380F7F" w:rsidRDefault="006D5EB6" w:rsidP="006D5EB6">
            <w:pPr>
              <w:spacing w:after="0" w:line="240" w:lineRule="auto"/>
              <w:rPr>
                <w:rFonts w:ascii="Calibri" w:eastAsia="Times New Roman" w:hAnsi="Calibri" w:cs="Calibri"/>
                <w:color w:val="000000"/>
                <w:lang w:eastAsia="es-EC"/>
              </w:rPr>
            </w:pPr>
            <w:r w:rsidRPr="00380F7F">
              <w:rPr>
                <w:rFonts w:ascii="Calibri" w:eastAsia="Times New Roman" w:hAnsi="Calibri" w:cs="Calibri"/>
                <w:color w:val="000000"/>
                <w:lang w:eastAsia="es-EC"/>
              </w:rPr>
              <w:t>Equipo de Comp.</w:t>
            </w:r>
          </w:p>
        </w:tc>
        <w:tc>
          <w:tcPr>
            <w:tcW w:w="1180" w:type="dxa"/>
            <w:tcBorders>
              <w:top w:val="nil"/>
              <w:left w:val="nil"/>
              <w:bottom w:val="single" w:sz="4" w:space="0" w:color="666699"/>
              <w:right w:val="single" w:sz="8" w:space="0" w:color="4F81BD"/>
            </w:tcBorders>
            <w:shd w:val="clear" w:color="auto" w:fill="auto"/>
            <w:noWrap/>
            <w:vAlign w:val="bottom"/>
            <w:hideMark/>
          </w:tcPr>
          <w:p w:rsidR="006D5EB6" w:rsidRPr="00380F7F" w:rsidRDefault="006D5EB6" w:rsidP="006D5EB6">
            <w:pPr>
              <w:spacing w:after="0" w:line="240" w:lineRule="auto"/>
              <w:rPr>
                <w:rFonts w:ascii="Calibri" w:eastAsia="Times New Roman" w:hAnsi="Calibri" w:cs="Calibri"/>
                <w:color w:val="000000"/>
                <w:lang w:eastAsia="es-EC"/>
              </w:rPr>
            </w:pPr>
            <w:r w:rsidRPr="00380F7F">
              <w:rPr>
                <w:rFonts w:ascii="Calibri" w:eastAsia="Times New Roman" w:hAnsi="Calibri" w:cs="Calibri"/>
                <w:color w:val="000000"/>
                <w:lang w:eastAsia="es-EC"/>
              </w:rPr>
              <w:t>0,96</w:t>
            </w:r>
          </w:p>
        </w:tc>
      </w:tr>
      <w:tr w:rsidR="006D5EB6" w:rsidRPr="00380F7F" w:rsidTr="006D5EB6">
        <w:trPr>
          <w:trHeight w:val="300"/>
          <w:jc w:val="center"/>
        </w:trPr>
        <w:tc>
          <w:tcPr>
            <w:tcW w:w="2300" w:type="dxa"/>
            <w:tcBorders>
              <w:top w:val="nil"/>
              <w:left w:val="single" w:sz="8" w:space="0" w:color="4F81BD"/>
              <w:bottom w:val="single" w:sz="4" w:space="0" w:color="666699"/>
              <w:right w:val="single" w:sz="8" w:space="0" w:color="4F81BD"/>
            </w:tcBorders>
            <w:shd w:val="clear" w:color="auto" w:fill="auto"/>
            <w:noWrap/>
            <w:vAlign w:val="bottom"/>
            <w:hideMark/>
          </w:tcPr>
          <w:p w:rsidR="006D5EB6" w:rsidRPr="00380F7F" w:rsidRDefault="006D5EB6" w:rsidP="006D5EB6">
            <w:pPr>
              <w:spacing w:after="0" w:line="240" w:lineRule="auto"/>
              <w:rPr>
                <w:rFonts w:ascii="Calibri" w:eastAsia="Times New Roman" w:hAnsi="Calibri" w:cs="Calibri"/>
                <w:color w:val="000000"/>
                <w:lang w:eastAsia="es-EC"/>
              </w:rPr>
            </w:pPr>
            <w:r w:rsidRPr="00380F7F">
              <w:rPr>
                <w:rFonts w:ascii="Calibri" w:eastAsia="Times New Roman" w:hAnsi="Calibri" w:cs="Calibri"/>
                <w:color w:val="000000"/>
                <w:lang w:eastAsia="es-EC"/>
              </w:rPr>
              <w:t>Dep. Acum.Muebles</w:t>
            </w:r>
          </w:p>
        </w:tc>
        <w:tc>
          <w:tcPr>
            <w:tcW w:w="1180" w:type="dxa"/>
            <w:tcBorders>
              <w:top w:val="nil"/>
              <w:left w:val="nil"/>
              <w:bottom w:val="single" w:sz="4" w:space="0" w:color="666699"/>
              <w:right w:val="single" w:sz="8" w:space="0" w:color="4F81BD"/>
            </w:tcBorders>
            <w:shd w:val="clear" w:color="auto" w:fill="auto"/>
            <w:noWrap/>
            <w:vAlign w:val="bottom"/>
            <w:hideMark/>
          </w:tcPr>
          <w:p w:rsidR="006D5EB6" w:rsidRPr="00380F7F" w:rsidRDefault="006D5EB6" w:rsidP="006D5EB6">
            <w:pPr>
              <w:spacing w:after="0" w:line="240" w:lineRule="auto"/>
              <w:rPr>
                <w:rFonts w:ascii="Calibri" w:eastAsia="Times New Roman" w:hAnsi="Calibri" w:cs="Calibri"/>
                <w:color w:val="000000"/>
                <w:lang w:eastAsia="es-EC"/>
              </w:rPr>
            </w:pPr>
            <w:r w:rsidRPr="00380F7F">
              <w:rPr>
                <w:rFonts w:ascii="Calibri" w:eastAsia="Times New Roman" w:hAnsi="Calibri" w:cs="Calibri"/>
                <w:color w:val="000000"/>
                <w:lang w:eastAsia="es-EC"/>
              </w:rPr>
              <w:t>-0,70</w:t>
            </w:r>
          </w:p>
        </w:tc>
      </w:tr>
      <w:tr w:rsidR="006D5EB6" w:rsidRPr="00380F7F" w:rsidTr="006D5EB6">
        <w:trPr>
          <w:trHeight w:val="300"/>
          <w:jc w:val="center"/>
        </w:trPr>
        <w:tc>
          <w:tcPr>
            <w:tcW w:w="2300" w:type="dxa"/>
            <w:tcBorders>
              <w:top w:val="nil"/>
              <w:left w:val="single" w:sz="8" w:space="0" w:color="4F81BD"/>
              <w:bottom w:val="single" w:sz="4" w:space="0" w:color="666699"/>
              <w:right w:val="single" w:sz="8" w:space="0" w:color="4F81BD"/>
            </w:tcBorders>
            <w:shd w:val="clear" w:color="auto" w:fill="auto"/>
            <w:noWrap/>
            <w:vAlign w:val="bottom"/>
            <w:hideMark/>
          </w:tcPr>
          <w:p w:rsidR="006D5EB6" w:rsidRPr="00380F7F" w:rsidRDefault="006D5EB6" w:rsidP="006D5EB6">
            <w:pPr>
              <w:spacing w:after="0" w:line="240" w:lineRule="auto"/>
              <w:rPr>
                <w:rFonts w:ascii="Calibri" w:eastAsia="Times New Roman" w:hAnsi="Calibri" w:cs="Calibri"/>
                <w:color w:val="000000"/>
                <w:lang w:eastAsia="es-EC"/>
              </w:rPr>
            </w:pPr>
            <w:r w:rsidRPr="00380F7F">
              <w:rPr>
                <w:rFonts w:ascii="Calibri" w:eastAsia="Times New Roman" w:hAnsi="Calibri" w:cs="Calibri"/>
                <w:color w:val="000000"/>
                <w:lang w:eastAsia="es-EC"/>
              </w:rPr>
              <w:t>Dep. Acum. Equipo</w:t>
            </w:r>
          </w:p>
        </w:tc>
        <w:tc>
          <w:tcPr>
            <w:tcW w:w="1180" w:type="dxa"/>
            <w:tcBorders>
              <w:top w:val="nil"/>
              <w:left w:val="nil"/>
              <w:bottom w:val="single" w:sz="4" w:space="0" w:color="666699"/>
              <w:right w:val="single" w:sz="8" w:space="0" w:color="4F81BD"/>
            </w:tcBorders>
            <w:shd w:val="clear" w:color="auto" w:fill="auto"/>
            <w:noWrap/>
            <w:vAlign w:val="bottom"/>
            <w:hideMark/>
          </w:tcPr>
          <w:p w:rsidR="006D5EB6" w:rsidRPr="00380F7F" w:rsidRDefault="006D5EB6" w:rsidP="006D5EB6">
            <w:pPr>
              <w:spacing w:after="0" w:line="240" w:lineRule="auto"/>
              <w:rPr>
                <w:rFonts w:ascii="Calibri" w:eastAsia="Times New Roman" w:hAnsi="Calibri" w:cs="Calibri"/>
                <w:color w:val="000000"/>
                <w:lang w:eastAsia="es-EC"/>
              </w:rPr>
            </w:pPr>
            <w:r w:rsidRPr="00380F7F">
              <w:rPr>
                <w:rFonts w:ascii="Calibri" w:eastAsia="Times New Roman" w:hAnsi="Calibri" w:cs="Calibri"/>
                <w:color w:val="000000"/>
                <w:lang w:eastAsia="es-EC"/>
              </w:rPr>
              <w:t>-0,32</w:t>
            </w:r>
          </w:p>
        </w:tc>
      </w:tr>
      <w:tr w:rsidR="006D5EB6" w:rsidRPr="00380F7F" w:rsidTr="006D5EB6">
        <w:trPr>
          <w:trHeight w:val="300"/>
          <w:jc w:val="center"/>
        </w:trPr>
        <w:tc>
          <w:tcPr>
            <w:tcW w:w="2300" w:type="dxa"/>
            <w:tcBorders>
              <w:top w:val="nil"/>
              <w:left w:val="single" w:sz="8" w:space="0" w:color="4F81BD"/>
              <w:bottom w:val="single" w:sz="4" w:space="0" w:color="666699"/>
              <w:right w:val="single" w:sz="8" w:space="0" w:color="4F81BD"/>
            </w:tcBorders>
            <w:shd w:val="clear" w:color="auto" w:fill="auto"/>
            <w:noWrap/>
            <w:vAlign w:val="bottom"/>
            <w:hideMark/>
          </w:tcPr>
          <w:p w:rsidR="006D5EB6" w:rsidRPr="00380F7F" w:rsidRDefault="006D5EB6" w:rsidP="006D5EB6">
            <w:pPr>
              <w:spacing w:after="0" w:line="240" w:lineRule="auto"/>
              <w:rPr>
                <w:rFonts w:ascii="Calibri" w:eastAsia="Times New Roman" w:hAnsi="Calibri" w:cs="Calibri"/>
                <w:color w:val="000000"/>
                <w:lang w:eastAsia="es-EC"/>
              </w:rPr>
            </w:pPr>
            <w:r w:rsidRPr="00380F7F">
              <w:rPr>
                <w:rFonts w:ascii="Calibri" w:eastAsia="Times New Roman" w:hAnsi="Calibri" w:cs="Calibri"/>
                <w:color w:val="000000"/>
                <w:lang w:eastAsia="es-EC"/>
              </w:rPr>
              <w:t>Dep. Acum. Edificios</w:t>
            </w:r>
          </w:p>
        </w:tc>
        <w:tc>
          <w:tcPr>
            <w:tcW w:w="1180" w:type="dxa"/>
            <w:tcBorders>
              <w:top w:val="nil"/>
              <w:left w:val="nil"/>
              <w:bottom w:val="single" w:sz="4" w:space="0" w:color="666699"/>
              <w:right w:val="single" w:sz="8" w:space="0" w:color="4F81BD"/>
            </w:tcBorders>
            <w:shd w:val="clear" w:color="auto" w:fill="auto"/>
            <w:noWrap/>
            <w:vAlign w:val="bottom"/>
            <w:hideMark/>
          </w:tcPr>
          <w:p w:rsidR="006D5EB6" w:rsidRPr="00380F7F" w:rsidRDefault="006D5EB6" w:rsidP="006D5EB6">
            <w:pPr>
              <w:spacing w:after="0" w:line="240" w:lineRule="auto"/>
              <w:rPr>
                <w:rFonts w:ascii="Calibri" w:eastAsia="Times New Roman" w:hAnsi="Calibri" w:cs="Calibri"/>
                <w:color w:val="000000"/>
                <w:lang w:eastAsia="es-EC"/>
              </w:rPr>
            </w:pPr>
            <w:r w:rsidRPr="00380F7F">
              <w:rPr>
                <w:rFonts w:ascii="Calibri" w:eastAsia="Times New Roman" w:hAnsi="Calibri" w:cs="Calibri"/>
                <w:color w:val="000000"/>
                <w:lang w:eastAsia="es-EC"/>
              </w:rPr>
              <w:t>-2,12</w:t>
            </w:r>
          </w:p>
        </w:tc>
      </w:tr>
      <w:tr w:rsidR="006D5EB6" w:rsidRPr="00380F7F" w:rsidTr="006D5EB6">
        <w:trPr>
          <w:trHeight w:val="300"/>
          <w:jc w:val="center"/>
        </w:trPr>
        <w:tc>
          <w:tcPr>
            <w:tcW w:w="2300" w:type="dxa"/>
            <w:tcBorders>
              <w:top w:val="nil"/>
              <w:left w:val="single" w:sz="8" w:space="0" w:color="4F81BD"/>
              <w:bottom w:val="single" w:sz="4" w:space="0" w:color="666699"/>
              <w:right w:val="single" w:sz="8" w:space="0" w:color="4F81BD"/>
            </w:tcBorders>
            <w:shd w:val="clear" w:color="auto" w:fill="auto"/>
            <w:noWrap/>
            <w:vAlign w:val="bottom"/>
            <w:hideMark/>
          </w:tcPr>
          <w:p w:rsidR="006D5EB6" w:rsidRPr="00380F7F" w:rsidRDefault="006D5EB6" w:rsidP="006D5EB6">
            <w:pPr>
              <w:spacing w:after="0" w:line="240" w:lineRule="auto"/>
              <w:rPr>
                <w:rFonts w:ascii="Calibri" w:eastAsia="Times New Roman" w:hAnsi="Calibri" w:cs="Calibri"/>
                <w:color w:val="000000"/>
                <w:lang w:eastAsia="es-EC"/>
              </w:rPr>
            </w:pPr>
            <w:r w:rsidRPr="00380F7F">
              <w:rPr>
                <w:rFonts w:ascii="Calibri" w:eastAsia="Times New Roman" w:hAnsi="Calibri" w:cs="Calibri"/>
                <w:color w:val="000000"/>
                <w:lang w:eastAsia="es-EC"/>
              </w:rPr>
              <w:t>Cargos Diferidos</w:t>
            </w:r>
          </w:p>
        </w:tc>
        <w:tc>
          <w:tcPr>
            <w:tcW w:w="1180" w:type="dxa"/>
            <w:tcBorders>
              <w:top w:val="nil"/>
              <w:left w:val="nil"/>
              <w:bottom w:val="single" w:sz="4" w:space="0" w:color="666699"/>
              <w:right w:val="single" w:sz="8" w:space="0" w:color="4F81BD"/>
            </w:tcBorders>
            <w:shd w:val="clear" w:color="auto" w:fill="auto"/>
            <w:noWrap/>
            <w:vAlign w:val="bottom"/>
            <w:hideMark/>
          </w:tcPr>
          <w:p w:rsidR="006D5EB6" w:rsidRPr="00380F7F" w:rsidRDefault="006D5EB6" w:rsidP="006D5EB6">
            <w:pPr>
              <w:spacing w:after="0" w:line="240" w:lineRule="auto"/>
              <w:rPr>
                <w:rFonts w:ascii="Calibri" w:eastAsia="Times New Roman" w:hAnsi="Calibri" w:cs="Calibri"/>
                <w:color w:val="000000"/>
                <w:lang w:eastAsia="es-EC"/>
              </w:rPr>
            </w:pPr>
            <w:r w:rsidRPr="00380F7F">
              <w:rPr>
                <w:rFonts w:ascii="Calibri" w:eastAsia="Times New Roman" w:hAnsi="Calibri" w:cs="Calibri"/>
                <w:color w:val="000000"/>
                <w:lang w:eastAsia="es-EC"/>
              </w:rPr>
              <w:t>1,27</w:t>
            </w:r>
          </w:p>
        </w:tc>
      </w:tr>
      <w:tr w:rsidR="006D5EB6" w:rsidRPr="00380F7F" w:rsidTr="006D5EB6">
        <w:trPr>
          <w:trHeight w:val="300"/>
          <w:jc w:val="center"/>
        </w:trPr>
        <w:tc>
          <w:tcPr>
            <w:tcW w:w="2300" w:type="dxa"/>
            <w:tcBorders>
              <w:top w:val="nil"/>
              <w:left w:val="single" w:sz="8" w:space="0" w:color="4F81BD"/>
              <w:bottom w:val="single" w:sz="4" w:space="0" w:color="666699"/>
              <w:right w:val="single" w:sz="8" w:space="0" w:color="4F81BD"/>
            </w:tcBorders>
            <w:shd w:val="clear" w:color="auto" w:fill="auto"/>
            <w:noWrap/>
            <w:vAlign w:val="bottom"/>
            <w:hideMark/>
          </w:tcPr>
          <w:p w:rsidR="006D5EB6" w:rsidRPr="00380F7F" w:rsidRDefault="006D5EB6" w:rsidP="006D5EB6">
            <w:pPr>
              <w:spacing w:after="0" w:line="240" w:lineRule="auto"/>
              <w:rPr>
                <w:rFonts w:ascii="Calibri" w:eastAsia="Times New Roman" w:hAnsi="Calibri" w:cs="Calibri"/>
                <w:color w:val="000000"/>
                <w:lang w:eastAsia="es-EC"/>
              </w:rPr>
            </w:pPr>
            <w:r w:rsidRPr="00380F7F">
              <w:rPr>
                <w:rFonts w:ascii="Calibri" w:eastAsia="Times New Roman" w:hAnsi="Calibri" w:cs="Calibri"/>
                <w:color w:val="000000"/>
                <w:lang w:eastAsia="es-EC"/>
              </w:rPr>
              <w:t>Garantías</w:t>
            </w:r>
          </w:p>
        </w:tc>
        <w:tc>
          <w:tcPr>
            <w:tcW w:w="1180" w:type="dxa"/>
            <w:tcBorders>
              <w:top w:val="nil"/>
              <w:left w:val="nil"/>
              <w:bottom w:val="single" w:sz="4" w:space="0" w:color="666699"/>
              <w:right w:val="single" w:sz="8" w:space="0" w:color="4F81BD"/>
            </w:tcBorders>
            <w:shd w:val="clear" w:color="auto" w:fill="auto"/>
            <w:noWrap/>
            <w:vAlign w:val="bottom"/>
            <w:hideMark/>
          </w:tcPr>
          <w:p w:rsidR="006D5EB6" w:rsidRPr="00380F7F" w:rsidRDefault="006D5EB6" w:rsidP="006D5EB6">
            <w:pPr>
              <w:spacing w:after="0" w:line="240" w:lineRule="auto"/>
              <w:rPr>
                <w:rFonts w:ascii="Calibri" w:eastAsia="Times New Roman" w:hAnsi="Calibri" w:cs="Calibri"/>
                <w:color w:val="000000"/>
                <w:lang w:eastAsia="es-EC"/>
              </w:rPr>
            </w:pPr>
            <w:r w:rsidRPr="00380F7F">
              <w:rPr>
                <w:rFonts w:ascii="Calibri" w:eastAsia="Times New Roman" w:hAnsi="Calibri" w:cs="Calibri"/>
                <w:color w:val="000000"/>
                <w:lang w:eastAsia="es-EC"/>
              </w:rPr>
              <w:t>0,06</w:t>
            </w:r>
          </w:p>
        </w:tc>
      </w:tr>
      <w:tr w:rsidR="006D5EB6" w:rsidRPr="00380F7F" w:rsidTr="006D5EB6">
        <w:trPr>
          <w:trHeight w:val="300"/>
          <w:jc w:val="center"/>
        </w:trPr>
        <w:tc>
          <w:tcPr>
            <w:tcW w:w="2300" w:type="dxa"/>
            <w:tcBorders>
              <w:top w:val="nil"/>
              <w:left w:val="single" w:sz="8" w:space="0" w:color="4F81BD"/>
              <w:bottom w:val="single" w:sz="4" w:space="0" w:color="666699"/>
              <w:right w:val="single" w:sz="8" w:space="0" w:color="4F81BD"/>
            </w:tcBorders>
            <w:shd w:val="clear" w:color="auto" w:fill="auto"/>
            <w:noWrap/>
            <w:vAlign w:val="bottom"/>
            <w:hideMark/>
          </w:tcPr>
          <w:p w:rsidR="006D5EB6" w:rsidRPr="00380F7F" w:rsidRDefault="006D5EB6" w:rsidP="006D5EB6">
            <w:pPr>
              <w:spacing w:after="0" w:line="240" w:lineRule="auto"/>
              <w:rPr>
                <w:rFonts w:ascii="Calibri" w:eastAsia="Times New Roman" w:hAnsi="Calibri" w:cs="Calibri"/>
                <w:color w:val="000000"/>
                <w:lang w:eastAsia="es-EC"/>
              </w:rPr>
            </w:pPr>
            <w:r w:rsidRPr="00380F7F">
              <w:rPr>
                <w:rFonts w:ascii="Calibri" w:eastAsia="Times New Roman" w:hAnsi="Calibri" w:cs="Calibri"/>
                <w:color w:val="000000"/>
                <w:lang w:eastAsia="es-EC"/>
              </w:rPr>
              <w:t>Cofres Mortuorios</w:t>
            </w:r>
          </w:p>
        </w:tc>
        <w:tc>
          <w:tcPr>
            <w:tcW w:w="1180" w:type="dxa"/>
            <w:tcBorders>
              <w:top w:val="nil"/>
              <w:left w:val="nil"/>
              <w:bottom w:val="single" w:sz="4" w:space="0" w:color="666699"/>
              <w:right w:val="single" w:sz="8" w:space="0" w:color="4F81BD"/>
            </w:tcBorders>
            <w:shd w:val="clear" w:color="auto" w:fill="auto"/>
            <w:noWrap/>
            <w:vAlign w:val="bottom"/>
            <w:hideMark/>
          </w:tcPr>
          <w:p w:rsidR="006D5EB6" w:rsidRPr="00380F7F" w:rsidRDefault="006D5EB6" w:rsidP="006D5EB6">
            <w:pPr>
              <w:spacing w:after="0" w:line="240" w:lineRule="auto"/>
              <w:rPr>
                <w:rFonts w:ascii="Calibri" w:eastAsia="Times New Roman" w:hAnsi="Calibri" w:cs="Calibri"/>
                <w:color w:val="000000"/>
                <w:lang w:eastAsia="es-EC"/>
              </w:rPr>
            </w:pPr>
            <w:r w:rsidRPr="00380F7F">
              <w:rPr>
                <w:rFonts w:ascii="Calibri" w:eastAsia="Times New Roman" w:hAnsi="Calibri" w:cs="Calibri"/>
                <w:color w:val="000000"/>
                <w:lang w:eastAsia="es-EC"/>
              </w:rPr>
              <w:t>0,08</w:t>
            </w:r>
          </w:p>
        </w:tc>
      </w:tr>
      <w:tr w:rsidR="006D5EB6" w:rsidRPr="00380F7F" w:rsidTr="006D5EB6">
        <w:trPr>
          <w:trHeight w:val="315"/>
          <w:jc w:val="center"/>
        </w:trPr>
        <w:tc>
          <w:tcPr>
            <w:tcW w:w="2300" w:type="dxa"/>
            <w:tcBorders>
              <w:top w:val="nil"/>
              <w:left w:val="single" w:sz="8" w:space="0" w:color="4F81BD"/>
              <w:bottom w:val="single" w:sz="8" w:space="0" w:color="4F81BD"/>
              <w:right w:val="single" w:sz="8" w:space="0" w:color="4F81BD"/>
            </w:tcBorders>
            <w:shd w:val="clear" w:color="auto" w:fill="auto"/>
            <w:noWrap/>
            <w:vAlign w:val="bottom"/>
            <w:hideMark/>
          </w:tcPr>
          <w:p w:rsidR="006D5EB6" w:rsidRPr="00380F7F" w:rsidRDefault="006D5EB6" w:rsidP="006D5EB6">
            <w:pPr>
              <w:spacing w:after="0" w:line="240" w:lineRule="auto"/>
              <w:rPr>
                <w:rFonts w:ascii="Calibri" w:eastAsia="Times New Roman" w:hAnsi="Calibri" w:cs="Calibri"/>
                <w:color w:val="000000"/>
                <w:lang w:eastAsia="es-EC"/>
              </w:rPr>
            </w:pPr>
            <w:r w:rsidRPr="00380F7F">
              <w:rPr>
                <w:rFonts w:ascii="Calibri" w:eastAsia="Times New Roman" w:hAnsi="Calibri" w:cs="Calibri"/>
                <w:color w:val="000000"/>
                <w:lang w:eastAsia="es-EC"/>
              </w:rPr>
              <w:t>Revaloriz. Certif. Aport</w:t>
            </w:r>
          </w:p>
        </w:tc>
        <w:tc>
          <w:tcPr>
            <w:tcW w:w="1180" w:type="dxa"/>
            <w:tcBorders>
              <w:top w:val="nil"/>
              <w:left w:val="nil"/>
              <w:bottom w:val="single" w:sz="8" w:space="0" w:color="4F81BD"/>
              <w:right w:val="single" w:sz="8" w:space="0" w:color="4F81BD"/>
            </w:tcBorders>
            <w:shd w:val="clear" w:color="auto" w:fill="auto"/>
            <w:noWrap/>
            <w:vAlign w:val="bottom"/>
            <w:hideMark/>
          </w:tcPr>
          <w:p w:rsidR="006D5EB6" w:rsidRPr="00380F7F" w:rsidRDefault="006D5EB6" w:rsidP="006D5EB6">
            <w:pPr>
              <w:spacing w:after="0" w:line="240" w:lineRule="auto"/>
              <w:rPr>
                <w:rFonts w:ascii="Calibri" w:eastAsia="Times New Roman" w:hAnsi="Calibri" w:cs="Calibri"/>
                <w:color w:val="000000"/>
                <w:lang w:eastAsia="es-EC"/>
              </w:rPr>
            </w:pPr>
            <w:r w:rsidRPr="00380F7F">
              <w:rPr>
                <w:rFonts w:ascii="Calibri" w:eastAsia="Times New Roman" w:hAnsi="Calibri" w:cs="Calibri"/>
                <w:color w:val="000000"/>
                <w:lang w:eastAsia="es-EC"/>
              </w:rPr>
              <w:t>0</w:t>
            </w:r>
          </w:p>
        </w:tc>
      </w:tr>
    </w:tbl>
    <w:p w:rsidR="006D5EB6" w:rsidRDefault="006D5EB6" w:rsidP="006D5EB6">
      <w:pPr>
        <w:jc w:val="center"/>
      </w:pPr>
    </w:p>
    <w:p w:rsidR="006D5EB6" w:rsidRDefault="006D5EB6" w:rsidP="006D5EB6">
      <w:pPr>
        <w:jc w:val="center"/>
      </w:pPr>
      <w:r w:rsidRPr="00380F7F">
        <w:rPr>
          <w:noProof/>
          <w:lang w:eastAsia="es-EC"/>
        </w:rPr>
        <w:lastRenderedPageBreak/>
        <w:drawing>
          <wp:inline distT="0" distB="0" distL="0" distR="0">
            <wp:extent cx="4572000" cy="2743200"/>
            <wp:effectExtent l="19050" t="0" r="19050" b="0"/>
            <wp:docPr id="93" name="Grá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D5EB6" w:rsidRPr="00EC6A4E" w:rsidRDefault="006D5EB6" w:rsidP="006D5EB6">
      <w:pPr>
        <w:jc w:val="center"/>
        <w:rPr>
          <w:b/>
        </w:rPr>
      </w:pPr>
      <w:r w:rsidRPr="00EC6A4E">
        <w:rPr>
          <w:b/>
        </w:rPr>
        <w:t>ESTRUCTURA FINANCIERA</w:t>
      </w:r>
    </w:p>
    <w:p w:rsidR="006D5EB6" w:rsidRPr="00EC6A4E" w:rsidRDefault="006D5EB6" w:rsidP="006D5EB6">
      <w:pPr>
        <w:spacing w:after="0" w:line="240" w:lineRule="auto"/>
        <w:jc w:val="center"/>
        <w:rPr>
          <w:rFonts w:ascii="Calibri" w:eastAsia="Times New Roman" w:hAnsi="Calibri" w:cs="Calibri"/>
          <w:b/>
          <w:bCs/>
          <w:color w:val="4F81BD"/>
          <w:lang w:eastAsia="es-EC"/>
        </w:rPr>
      </w:pPr>
      <w:r w:rsidRPr="00EC6A4E">
        <w:rPr>
          <w:rFonts w:ascii="Calibri" w:eastAsia="Times New Roman" w:hAnsi="Calibri" w:cs="Calibri"/>
          <w:b/>
          <w:bCs/>
          <w:color w:val="4F81BD"/>
          <w:lang w:eastAsia="es-EC"/>
        </w:rPr>
        <w:t>Análisis de Tendencias Método Vertical</w:t>
      </w:r>
    </w:p>
    <w:p w:rsidR="006D5EB6" w:rsidRDefault="006D5EB6" w:rsidP="006D5EB6"/>
    <w:tbl>
      <w:tblPr>
        <w:tblW w:w="3180" w:type="dxa"/>
        <w:jc w:val="center"/>
        <w:tblInd w:w="60" w:type="dxa"/>
        <w:tblCellMar>
          <w:left w:w="70" w:type="dxa"/>
          <w:right w:w="70" w:type="dxa"/>
        </w:tblCellMar>
        <w:tblLook w:val="04A0"/>
      </w:tblPr>
      <w:tblGrid>
        <w:gridCol w:w="2080"/>
        <w:gridCol w:w="1100"/>
      </w:tblGrid>
      <w:tr w:rsidR="006D5EB6" w:rsidRPr="00EC6A4E" w:rsidTr="006D5EB6">
        <w:trPr>
          <w:trHeight w:val="315"/>
          <w:jc w:val="center"/>
        </w:trPr>
        <w:tc>
          <w:tcPr>
            <w:tcW w:w="2080" w:type="dxa"/>
            <w:tcBorders>
              <w:top w:val="single" w:sz="8" w:space="0" w:color="666699"/>
              <w:left w:val="single" w:sz="8" w:space="0" w:color="666699"/>
              <w:bottom w:val="single" w:sz="8" w:space="0" w:color="666699"/>
              <w:right w:val="single" w:sz="8" w:space="0" w:color="666699"/>
            </w:tcBorders>
            <w:shd w:val="clear" w:color="auto" w:fill="auto"/>
            <w:noWrap/>
            <w:vAlign w:val="bottom"/>
            <w:hideMark/>
          </w:tcPr>
          <w:p w:rsidR="006D5EB6" w:rsidRPr="00EC6A4E" w:rsidRDefault="006D5EB6" w:rsidP="006D5EB6">
            <w:pPr>
              <w:spacing w:after="0" w:line="240" w:lineRule="auto"/>
              <w:jc w:val="center"/>
              <w:rPr>
                <w:rFonts w:ascii="Calibri" w:eastAsia="Times New Roman" w:hAnsi="Calibri" w:cs="Calibri"/>
                <w:b/>
                <w:bCs/>
                <w:color w:val="9966FF"/>
                <w:lang w:eastAsia="es-EC"/>
              </w:rPr>
            </w:pPr>
            <w:r w:rsidRPr="00EC6A4E">
              <w:rPr>
                <w:rFonts w:ascii="Calibri" w:eastAsia="Times New Roman" w:hAnsi="Calibri" w:cs="Calibri"/>
                <w:b/>
                <w:bCs/>
                <w:color w:val="9966FF"/>
                <w:lang w:eastAsia="es-EC"/>
              </w:rPr>
              <w:t>RUBROS</w:t>
            </w:r>
          </w:p>
        </w:tc>
        <w:tc>
          <w:tcPr>
            <w:tcW w:w="1100" w:type="dxa"/>
            <w:tcBorders>
              <w:top w:val="single" w:sz="8" w:space="0" w:color="666699"/>
              <w:left w:val="nil"/>
              <w:bottom w:val="single" w:sz="8" w:space="0" w:color="666699"/>
              <w:right w:val="single" w:sz="8" w:space="0" w:color="666699"/>
            </w:tcBorders>
            <w:shd w:val="clear" w:color="auto" w:fill="auto"/>
            <w:noWrap/>
            <w:vAlign w:val="bottom"/>
            <w:hideMark/>
          </w:tcPr>
          <w:p w:rsidR="006D5EB6" w:rsidRPr="00EC6A4E" w:rsidRDefault="006D5EB6" w:rsidP="006D5EB6">
            <w:pPr>
              <w:spacing w:after="0" w:line="240" w:lineRule="auto"/>
              <w:jc w:val="center"/>
              <w:rPr>
                <w:rFonts w:ascii="Calibri" w:eastAsia="Times New Roman" w:hAnsi="Calibri" w:cs="Calibri"/>
                <w:b/>
                <w:bCs/>
                <w:color w:val="9966FF"/>
                <w:lang w:eastAsia="es-EC"/>
              </w:rPr>
            </w:pPr>
            <w:r w:rsidRPr="00EC6A4E">
              <w:rPr>
                <w:rFonts w:ascii="Calibri" w:eastAsia="Times New Roman" w:hAnsi="Calibri" w:cs="Calibri"/>
                <w:b/>
                <w:bCs/>
                <w:color w:val="9966FF"/>
                <w:lang w:eastAsia="es-EC"/>
              </w:rPr>
              <w:t>%</w:t>
            </w:r>
          </w:p>
        </w:tc>
      </w:tr>
      <w:tr w:rsidR="006D5EB6" w:rsidRPr="00EC6A4E" w:rsidTr="006D5EB6">
        <w:trPr>
          <w:trHeight w:val="300"/>
          <w:jc w:val="center"/>
        </w:trPr>
        <w:tc>
          <w:tcPr>
            <w:tcW w:w="2080" w:type="dxa"/>
            <w:tcBorders>
              <w:top w:val="nil"/>
              <w:left w:val="single" w:sz="8" w:space="0" w:color="666699"/>
              <w:bottom w:val="single" w:sz="4" w:space="0" w:color="666699"/>
              <w:right w:val="single" w:sz="8" w:space="0" w:color="666699"/>
            </w:tcBorders>
            <w:shd w:val="clear" w:color="auto" w:fill="auto"/>
            <w:noWrap/>
            <w:vAlign w:val="bottom"/>
            <w:hideMark/>
          </w:tcPr>
          <w:p w:rsidR="006D5EB6" w:rsidRPr="00EC6A4E" w:rsidRDefault="006D5EB6" w:rsidP="006D5EB6">
            <w:pPr>
              <w:spacing w:after="0" w:line="240" w:lineRule="auto"/>
              <w:rPr>
                <w:rFonts w:ascii="Calibri" w:eastAsia="Times New Roman" w:hAnsi="Calibri" w:cs="Calibri"/>
                <w:color w:val="000000"/>
                <w:lang w:eastAsia="es-EC"/>
              </w:rPr>
            </w:pPr>
            <w:r w:rsidRPr="00EC6A4E">
              <w:rPr>
                <w:rFonts w:ascii="Calibri" w:eastAsia="Times New Roman" w:hAnsi="Calibri" w:cs="Calibri"/>
                <w:color w:val="000000"/>
                <w:lang w:eastAsia="es-EC"/>
              </w:rPr>
              <w:t>Ctas. Por Pagar</w:t>
            </w:r>
          </w:p>
        </w:tc>
        <w:tc>
          <w:tcPr>
            <w:tcW w:w="1100" w:type="dxa"/>
            <w:tcBorders>
              <w:top w:val="nil"/>
              <w:left w:val="nil"/>
              <w:bottom w:val="single" w:sz="4" w:space="0" w:color="666699"/>
              <w:right w:val="single" w:sz="8" w:space="0" w:color="666699"/>
            </w:tcBorders>
            <w:shd w:val="clear" w:color="auto" w:fill="auto"/>
            <w:noWrap/>
            <w:vAlign w:val="bottom"/>
            <w:hideMark/>
          </w:tcPr>
          <w:p w:rsidR="006D5EB6" w:rsidRPr="00EC6A4E" w:rsidRDefault="006D5EB6" w:rsidP="006D5EB6">
            <w:pPr>
              <w:spacing w:after="0" w:line="240" w:lineRule="auto"/>
              <w:jc w:val="right"/>
              <w:rPr>
                <w:rFonts w:ascii="Calibri" w:eastAsia="Times New Roman" w:hAnsi="Calibri" w:cs="Calibri"/>
                <w:color w:val="000000"/>
                <w:lang w:eastAsia="es-EC"/>
              </w:rPr>
            </w:pPr>
            <w:r w:rsidRPr="00EC6A4E">
              <w:rPr>
                <w:rFonts w:ascii="Calibri" w:eastAsia="Times New Roman" w:hAnsi="Calibri" w:cs="Calibri"/>
                <w:color w:val="000000"/>
                <w:lang w:eastAsia="es-EC"/>
              </w:rPr>
              <w:t>1,30</w:t>
            </w:r>
          </w:p>
        </w:tc>
      </w:tr>
      <w:tr w:rsidR="006D5EB6" w:rsidRPr="00EC6A4E" w:rsidTr="006D5EB6">
        <w:trPr>
          <w:trHeight w:val="300"/>
          <w:jc w:val="center"/>
        </w:trPr>
        <w:tc>
          <w:tcPr>
            <w:tcW w:w="2080" w:type="dxa"/>
            <w:tcBorders>
              <w:top w:val="nil"/>
              <w:left w:val="single" w:sz="8" w:space="0" w:color="666699"/>
              <w:bottom w:val="single" w:sz="4" w:space="0" w:color="666699"/>
              <w:right w:val="single" w:sz="8" w:space="0" w:color="666699"/>
            </w:tcBorders>
            <w:shd w:val="clear" w:color="auto" w:fill="auto"/>
            <w:noWrap/>
            <w:vAlign w:val="bottom"/>
            <w:hideMark/>
          </w:tcPr>
          <w:p w:rsidR="006D5EB6" w:rsidRPr="00EC6A4E" w:rsidRDefault="006D5EB6" w:rsidP="006D5EB6">
            <w:pPr>
              <w:spacing w:after="0" w:line="240" w:lineRule="auto"/>
              <w:rPr>
                <w:rFonts w:ascii="Calibri" w:eastAsia="Times New Roman" w:hAnsi="Calibri" w:cs="Calibri"/>
                <w:color w:val="000000"/>
                <w:lang w:eastAsia="es-EC"/>
              </w:rPr>
            </w:pPr>
            <w:r w:rsidRPr="00EC6A4E">
              <w:rPr>
                <w:rFonts w:ascii="Calibri" w:eastAsia="Times New Roman" w:hAnsi="Calibri" w:cs="Calibri"/>
                <w:color w:val="000000"/>
                <w:lang w:eastAsia="es-EC"/>
              </w:rPr>
              <w:t>Capital Social</w:t>
            </w:r>
          </w:p>
        </w:tc>
        <w:tc>
          <w:tcPr>
            <w:tcW w:w="1100" w:type="dxa"/>
            <w:tcBorders>
              <w:top w:val="nil"/>
              <w:left w:val="nil"/>
              <w:bottom w:val="single" w:sz="4" w:space="0" w:color="666699"/>
              <w:right w:val="single" w:sz="8" w:space="0" w:color="666699"/>
            </w:tcBorders>
            <w:shd w:val="clear" w:color="auto" w:fill="auto"/>
            <w:noWrap/>
            <w:vAlign w:val="bottom"/>
            <w:hideMark/>
          </w:tcPr>
          <w:p w:rsidR="006D5EB6" w:rsidRPr="00EC6A4E" w:rsidRDefault="006D5EB6" w:rsidP="006D5EB6">
            <w:pPr>
              <w:spacing w:after="0" w:line="240" w:lineRule="auto"/>
              <w:jc w:val="right"/>
              <w:rPr>
                <w:rFonts w:ascii="Calibri" w:eastAsia="Times New Roman" w:hAnsi="Calibri" w:cs="Calibri"/>
                <w:color w:val="000000"/>
                <w:lang w:eastAsia="es-EC"/>
              </w:rPr>
            </w:pPr>
            <w:r w:rsidRPr="00EC6A4E">
              <w:rPr>
                <w:rFonts w:ascii="Calibri" w:eastAsia="Times New Roman" w:hAnsi="Calibri" w:cs="Calibri"/>
                <w:color w:val="000000"/>
                <w:lang w:eastAsia="es-EC"/>
              </w:rPr>
              <w:t>89,64</w:t>
            </w:r>
          </w:p>
        </w:tc>
      </w:tr>
      <w:tr w:rsidR="006D5EB6" w:rsidRPr="00EC6A4E" w:rsidTr="006D5EB6">
        <w:trPr>
          <w:trHeight w:val="300"/>
          <w:jc w:val="center"/>
        </w:trPr>
        <w:tc>
          <w:tcPr>
            <w:tcW w:w="2080" w:type="dxa"/>
            <w:tcBorders>
              <w:top w:val="nil"/>
              <w:left w:val="single" w:sz="8" w:space="0" w:color="666699"/>
              <w:bottom w:val="single" w:sz="4" w:space="0" w:color="666699"/>
              <w:right w:val="single" w:sz="8" w:space="0" w:color="666699"/>
            </w:tcBorders>
            <w:shd w:val="clear" w:color="auto" w:fill="auto"/>
            <w:noWrap/>
            <w:vAlign w:val="bottom"/>
            <w:hideMark/>
          </w:tcPr>
          <w:p w:rsidR="006D5EB6" w:rsidRPr="00EC6A4E" w:rsidRDefault="006D5EB6" w:rsidP="006D5EB6">
            <w:pPr>
              <w:spacing w:after="0" w:line="240" w:lineRule="auto"/>
              <w:rPr>
                <w:rFonts w:ascii="Calibri" w:eastAsia="Times New Roman" w:hAnsi="Calibri" w:cs="Calibri"/>
                <w:color w:val="000000"/>
                <w:lang w:eastAsia="es-EC"/>
              </w:rPr>
            </w:pPr>
            <w:r w:rsidRPr="00EC6A4E">
              <w:rPr>
                <w:rFonts w:ascii="Calibri" w:eastAsia="Times New Roman" w:hAnsi="Calibri" w:cs="Calibri"/>
                <w:color w:val="000000"/>
                <w:lang w:eastAsia="es-EC"/>
              </w:rPr>
              <w:t>Reservas Legales</w:t>
            </w:r>
          </w:p>
        </w:tc>
        <w:tc>
          <w:tcPr>
            <w:tcW w:w="1100" w:type="dxa"/>
            <w:tcBorders>
              <w:top w:val="nil"/>
              <w:left w:val="nil"/>
              <w:bottom w:val="single" w:sz="4" w:space="0" w:color="666699"/>
              <w:right w:val="single" w:sz="8" w:space="0" w:color="666699"/>
            </w:tcBorders>
            <w:shd w:val="clear" w:color="auto" w:fill="auto"/>
            <w:noWrap/>
            <w:vAlign w:val="bottom"/>
            <w:hideMark/>
          </w:tcPr>
          <w:p w:rsidR="006D5EB6" w:rsidRPr="00EC6A4E" w:rsidRDefault="006D5EB6" w:rsidP="006D5EB6">
            <w:pPr>
              <w:spacing w:after="0" w:line="240" w:lineRule="auto"/>
              <w:jc w:val="right"/>
              <w:rPr>
                <w:rFonts w:ascii="Calibri" w:eastAsia="Times New Roman" w:hAnsi="Calibri" w:cs="Calibri"/>
                <w:color w:val="000000"/>
                <w:lang w:eastAsia="es-EC"/>
              </w:rPr>
            </w:pPr>
            <w:r w:rsidRPr="00EC6A4E">
              <w:rPr>
                <w:rFonts w:ascii="Calibri" w:eastAsia="Times New Roman" w:hAnsi="Calibri" w:cs="Calibri"/>
                <w:color w:val="000000"/>
                <w:lang w:eastAsia="es-EC"/>
              </w:rPr>
              <w:t>0,61</w:t>
            </w:r>
          </w:p>
        </w:tc>
      </w:tr>
      <w:tr w:rsidR="006D5EB6" w:rsidRPr="00EC6A4E" w:rsidTr="006D5EB6">
        <w:trPr>
          <w:trHeight w:val="300"/>
          <w:jc w:val="center"/>
        </w:trPr>
        <w:tc>
          <w:tcPr>
            <w:tcW w:w="2080" w:type="dxa"/>
            <w:tcBorders>
              <w:top w:val="nil"/>
              <w:left w:val="single" w:sz="8" w:space="0" w:color="666699"/>
              <w:bottom w:val="single" w:sz="4" w:space="0" w:color="666699"/>
              <w:right w:val="single" w:sz="8" w:space="0" w:color="666699"/>
            </w:tcBorders>
            <w:shd w:val="clear" w:color="auto" w:fill="auto"/>
            <w:noWrap/>
            <w:vAlign w:val="bottom"/>
            <w:hideMark/>
          </w:tcPr>
          <w:p w:rsidR="006D5EB6" w:rsidRPr="00EC6A4E" w:rsidRDefault="006D5EB6" w:rsidP="006D5EB6">
            <w:pPr>
              <w:spacing w:after="0" w:line="240" w:lineRule="auto"/>
              <w:rPr>
                <w:rFonts w:ascii="Calibri" w:eastAsia="Times New Roman" w:hAnsi="Calibri" w:cs="Calibri"/>
                <w:color w:val="000000"/>
                <w:lang w:eastAsia="es-EC"/>
              </w:rPr>
            </w:pPr>
            <w:r w:rsidRPr="00EC6A4E">
              <w:rPr>
                <w:rFonts w:ascii="Calibri" w:eastAsia="Times New Roman" w:hAnsi="Calibri" w:cs="Calibri"/>
                <w:color w:val="000000"/>
                <w:lang w:eastAsia="es-EC"/>
              </w:rPr>
              <w:t>Reservas Facultativas</w:t>
            </w:r>
          </w:p>
        </w:tc>
        <w:tc>
          <w:tcPr>
            <w:tcW w:w="1100" w:type="dxa"/>
            <w:tcBorders>
              <w:top w:val="nil"/>
              <w:left w:val="nil"/>
              <w:bottom w:val="single" w:sz="4" w:space="0" w:color="666699"/>
              <w:right w:val="single" w:sz="8" w:space="0" w:color="666699"/>
            </w:tcBorders>
            <w:shd w:val="clear" w:color="auto" w:fill="auto"/>
            <w:noWrap/>
            <w:vAlign w:val="bottom"/>
            <w:hideMark/>
          </w:tcPr>
          <w:p w:rsidR="006D5EB6" w:rsidRPr="00EC6A4E" w:rsidRDefault="006D5EB6" w:rsidP="006D5EB6">
            <w:pPr>
              <w:spacing w:after="0" w:line="240" w:lineRule="auto"/>
              <w:jc w:val="right"/>
              <w:rPr>
                <w:rFonts w:ascii="Calibri" w:eastAsia="Times New Roman" w:hAnsi="Calibri" w:cs="Calibri"/>
                <w:color w:val="000000"/>
                <w:lang w:eastAsia="es-EC"/>
              </w:rPr>
            </w:pPr>
            <w:r w:rsidRPr="00EC6A4E">
              <w:rPr>
                <w:rFonts w:ascii="Calibri" w:eastAsia="Times New Roman" w:hAnsi="Calibri" w:cs="Calibri"/>
                <w:color w:val="000000"/>
                <w:lang w:eastAsia="es-EC"/>
              </w:rPr>
              <w:t>0</w:t>
            </w:r>
          </w:p>
        </w:tc>
      </w:tr>
      <w:tr w:rsidR="006D5EB6" w:rsidRPr="00EC6A4E" w:rsidTr="006D5EB6">
        <w:trPr>
          <w:trHeight w:val="315"/>
          <w:jc w:val="center"/>
        </w:trPr>
        <w:tc>
          <w:tcPr>
            <w:tcW w:w="2080" w:type="dxa"/>
            <w:tcBorders>
              <w:top w:val="nil"/>
              <w:left w:val="single" w:sz="8" w:space="0" w:color="666699"/>
              <w:bottom w:val="single" w:sz="4" w:space="0" w:color="666699"/>
              <w:right w:val="single" w:sz="8" w:space="0" w:color="666699"/>
            </w:tcBorders>
            <w:shd w:val="clear" w:color="auto" w:fill="auto"/>
            <w:noWrap/>
            <w:vAlign w:val="bottom"/>
            <w:hideMark/>
          </w:tcPr>
          <w:p w:rsidR="006D5EB6" w:rsidRPr="00EC6A4E" w:rsidRDefault="006D5EB6" w:rsidP="006D5EB6">
            <w:pPr>
              <w:spacing w:after="0" w:line="240" w:lineRule="auto"/>
              <w:rPr>
                <w:rFonts w:ascii="Calibri" w:eastAsia="Times New Roman" w:hAnsi="Calibri" w:cs="Calibri"/>
                <w:color w:val="000000"/>
                <w:lang w:eastAsia="es-EC"/>
              </w:rPr>
            </w:pPr>
            <w:r w:rsidRPr="00EC6A4E">
              <w:rPr>
                <w:rFonts w:ascii="Calibri" w:eastAsia="Times New Roman" w:hAnsi="Calibri" w:cs="Calibri"/>
                <w:color w:val="000000"/>
                <w:lang w:eastAsia="es-EC"/>
              </w:rPr>
              <w:t>Revalúo de Act. Fijos</w:t>
            </w:r>
          </w:p>
        </w:tc>
        <w:tc>
          <w:tcPr>
            <w:tcW w:w="1100" w:type="dxa"/>
            <w:tcBorders>
              <w:top w:val="nil"/>
              <w:left w:val="nil"/>
              <w:bottom w:val="single" w:sz="4" w:space="0" w:color="666699"/>
              <w:right w:val="single" w:sz="8" w:space="0" w:color="666699"/>
            </w:tcBorders>
            <w:shd w:val="clear" w:color="auto" w:fill="auto"/>
            <w:noWrap/>
            <w:vAlign w:val="bottom"/>
            <w:hideMark/>
          </w:tcPr>
          <w:p w:rsidR="006D5EB6" w:rsidRPr="00EC6A4E" w:rsidRDefault="006D5EB6" w:rsidP="006D5EB6">
            <w:pPr>
              <w:spacing w:after="0" w:line="240" w:lineRule="auto"/>
              <w:jc w:val="right"/>
              <w:rPr>
                <w:rFonts w:ascii="Calibri" w:eastAsia="Times New Roman" w:hAnsi="Calibri" w:cs="Calibri"/>
                <w:color w:val="000000"/>
                <w:lang w:eastAsia="es-EC"/>
              </w:rPr>
            </w:pPr>
            <w:r w:rsidRPr="00EC6A4E">
              <w:rPr>
                <w:rFonts w:ascii="Calibri" w:eastAsia="Times New Roman" w:hAnsi="Calibri" w:cs="Calibri"/>
                <w:color w:val="000000"/>
                <w:lang w:eastAsia="es-EC"/>
              </w:rPr>
              <w:t>0</w:t>
            </w:r>
          </w:p>
        </w:tc>
      </w:tr>
      <w:tr w:rsidR="006D5EB6" w:rsidRPr="00EC6A4E" w:rsidTr="006D5EB6">
        <w:trPr>
          <w:trHeight w:val="315"/>
          <w:jc w:val="center"/>
        </w:trPr>
        <w:tc>
          <w:tcPr>
            <w:tcW w:w="2080" w:type="dxa"/>
            <w:tcBorders>
              <w:top w:val="nil"/>
              <w:left w:val="single" w:sz="8" w:space="0" w:color="666699"/>
              <w:bottom w:val="single" w:sz="8" w:space="0" w:color="666699"/>
              <w:right w:val="single" w:sz="8" w:space="0" w:color="666699"/>
            </w:tcBorders>
            <w:shd w:val="clear" w:color="auto" w:fill="auto"/>
            <w:noWrap/>
            <w:vAlign w:val="bottom"/>
            <w:hideMark/>
          </w:tcPr>
          <w:p w:rsidR="006D5EB6" w:rsidRPr="00EC6A4E" w:rsidRDefault="006D5EB6" w:rsidP="006D5EB6">
            <w:pPr>
              <w:spacing w:after="0" w:line="240" w:lineRule="auto"/>
              <w:rPr>
                <w:rFonts w:ascii="Calibri" w:eastAsia="Times New Roman" w:hAnsi="Calibri" w:cs="Calibri"/>
                <w:color w:val="000000"/>
                <w:lang w:eastAsia="es-EC"/>
              </w:rPr>
            </w:pPr>
            <w:r w:rsidRPr="00EC6A4E">
              <w:rPr>
                <w:rFonts w:ascii="Calibri" w:eastAsia="Times New Roman" w:hAnsi="Calibri" w:cs="Calibri"/>
                <w:color w:val="000000"/>
                <w:lang w:eastAsia="es-EC"/>
              </w:rPr>
              <w:t>Utilidad del Ejercicio</w:t>
            </w:r>
          </w:p>
        </w:tc>
        <w:tc>
          <w:tcPr>
            <w:tcW w:w="1100" w:type="dxa"/>
            <w:tcBorders>
              <w:top w:val="nil"/>
              <w:left w:val="nil"/>
              <w:bottom w:val="single" w:sz="8" w:space="0" w:color="666699"/>
              <w:right w:val="single" w:sz="8" w:space="0" w:color="666699"/>
            </w:tcBorders>
            <w:shd w:val="clear" w:color="auto" w:fill="auto"/>
            <w:noWrap/>
            <w:vAlign w:val="bottom"/>
            <w:hideMark/>
          </w:tcPr>
          <w:p w:rsidR="006D5EB6" w:rsidRPr="00EC6A4E" w:rsidRDefault="006D5EB6" w:rsidP="006D5EB6">
            <w:pPr>
              <w:spacing w:after="0" w:line="240" w:lineRule="auto"/>
              <w:jc w:val="right"/>
              <w:rPr>
                <w:rFonts w:ascii="Calibri" w:eastAsia="Times New Roman" w:hAnsi="Calibri" w:cs="Calibri"/>
                <w:color w:val="000000"/>
                <w:lang w:eastAsia="es-EC"/>
              </w:rPr>
            </w:pPr>
            <w:r w:rsidRPr="00EC6A4E">
              <w:rPr>
                <w:rFonts w:ascii="Calibri" w:eastAsia="Times New Roman" w:hAnsi="Calibri" w:cs="Calibri"/>
                <w:color w:val="000000"/>
                <w:lang w:eastAsia="es-EC"/>
              </w:rPr>
              <w:t>8,45</w:t>
            </w:r>
          </w:p>
        </w:tc>
      </w:tr>
    </w:tbl>
    <w:p w:rsidR="006D5EB6" w:rsidRDefault="006D5EB6" w:rsidP="006D5EB6"/>
    <w:p w:rsidR="006D5EB6" w:rsidRDefault="006D5EB6" w:rsidP="006D5EB6">
      <w:pPr>
        <w:jc w:val="center"/>
      </w:pPr>
      <w:r w:rsidRPr="00EC6A4E">
        <w:rPr>
          <w:noProof/>
          <w:lang w:eastAsia="es-EC"/>
        </w:rPr>
        <w:drawing>
          <wp:inline distT="0" distB="0" distL="0" distR="0">
            <wp:extent cx="3752850" cy="2352675"/>
            <wp:effectExtent l="19050" t="0" r="19050" b="0"/>
            <wp:docPr id="95" name="Gráfico 9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6D5EB6" w:rsidRDefault="006D5EB6" w:rsidP="006D5EB6">
      <w:pPr>
        <w:spacing w:after="0" w:line="240" w:lineRule="auto"/>
        <w:jc w:val="center"/>
        <w:rPr>
          <w:rFonts w:ascii="Calibri" w:eastAsia="Times New Roman" w:hAnsi="Calibri" w:cs="Calibri"/>
          <w:b/>
          <w:bCs/>
          <w:color w:val="4F81BD"/>
          <w:lang w:eastAsia="es-EC"/>
        </w:rPr>
        <w:sectPr w:rsidR="006D5EB6" w:rsidSect="006D5EB6">
          <w:pgSz w:w="12240" w:h="15840"/>
          <w:pgMar w:top="1418" w:right="1701" w:bottom="1418" w:left="1701" w:header="709" w:footer="709" w:gutter="0"/>
          <w:cols w:space="708"/>
          <w:docGrid w:linePitch="360"/>
        </w:sectPr>
      </w:pPr>
    </w:p>
    <w:tbl>
      <w:tblPr>
        <w:tblW w:w="10174" w:type="dxa"/>
        <w:tblInd w:w="70"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tblPr>
      <w:tblGrid>
        <w:gridCol w:w="3315"/>
        <w:gridCol w:w="146"/>
        <w:gridCol w:w="1075"/>
        <w:gridCol w:w="1924"/>
        <w:gridCol w:w="1143"/>
        <w:gridCol w:w="1335"/>
        <w:gridCol w:w="1236"/>
      </w:tblGrid>
      <w:tr w:rsidR="006D5EB6" w:rsidRPr="00E15C4D" w:rsidTr="006D5EB6">
        <w:trPr>
          <w:trHeight w:val="307"/>
        </w:trPr>
        <w:tc>
          <w:tcPr>
            <w:tcW w:w="3315" w:type="dxa"/>
            <w:tcBorders>
              <w:top w:val="nil"/>
              <w:left w:val="nil"/>
              <w:bottom w:val="nil"/>
              <w:right w:val="nil"/>
            </w:tcBorders>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p>
        </w:tc>
        <w:tc>
          <w:tcPr>
            <w:tcW w:w="3145" w:type="dxa"/>
            <w:gridSpan w:val="3"/>
            <w:tcBorders>
              <w:top w:val="nil"/>
              <w:left w:val="nil"/>
              <w:bottom w:val="nil"/>
              <w:right w:val="nil"/>
            </w:tcBorders>
            <w:shd w:val="clear" w:color="auto" w:fill="auto"/>
            <w:noWrap/>
            <w:vAlign w:val="bottom"/>
            <w:hideMark/>
          </w:tcPr>
          <w:p w:rsidR="006D5EB6" w:rsidRPr="00E15C4D" w:rsidRDefault="006D5EB6" w:rsidP="006D5EB6">
            <w:pPr>
              <w:spacing w:after="0" w:line="240" w:lineRule="auto"/>
              <w:jc w:val="center"/>
              <w:rPr>
                <w:rFonts w:ascii="Calibri" w:eastAsia="Times New Roman" w:hAnsi="Calibri" w:cs="Calibri"/>
                <w:color w:val="000000"/>
                <w:lang w:eastAsia="es-EC"/>
              </w:rPr>
            </w:pPr>
            <w:r w:rsidRPr="00E15C4D">
              <w:rPr>
                <w:rFonts w:ascii="Calibri" w:eastAsia="Times New Roman" w:hAnsi="Calibri" w:cs="Calibri"/>
                <w:color w:val="000000"/>
                <w:lang w:eastAsia="es-EC"/>
              </w:rPr>
              <w:t>COOPERATIVA DE TAXIS "RÁPIDO NACIONAL"</w:t>
            </w:r>
          </w:p>
        </w:tc>
        <w:tc>
          <w:tcPr>
            <w:tcW w:w="1143" w:type="dxa"/>
            <w:tcBorders>
              <w:top w:val="nil"/>
              <w:left w:val="nil"/>
              <w:bottom w:val="nil"/>
              <w:right w:val="nil"/>
            </w:tcBorders>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p>
        </w:tc>
        <w:tc>
          <w:tcPr>
            <w:tcW w:w="1335" w:type="dxa"/>
            <w:tcBorders>
              <w:top w:val="nil"/>
              <w:left w:val="nil"/>
              <w:bottom w:val="nil"/>
              <w:right w:val="nil"/>
            </w:tcBorders>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p>
        </w:tc>
        <w:tc>
          <w:tcPr>
            <w:tcW w:w="1236" w:type="dxa"/>
            <w:tcBorders>
              <w:top w:val="nil"/>
              <w:left w:val="nil"/>
              <w:bottom w:val="nil"/>
              <w:right w:val="nil"/>
            </w:tcBorders>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p>
        </w:tc>
      </w:tr>
      <w:tr w:rsidR="006D5EB6" w:rsidRPr="00E15C4D" w:rsidTr="006D5EB6">
        <w:trPr>
          <w:trHeight w:val="307"/>
        </w:trPr>
        <w:tc>
          <w:tcPr>
            <w:tcW w:w="3315" w:type="dxa"/>
            <w:tcBorders>
              <w:top w:val="nil"/>
              <w:left w:val="nil"/>
              <w:bottom w:val="nil"/>
              <w:right w:val="nil"/>
            </w:tcBorders>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p>
        </w:tc>
        <w:tc>
          <w:tcPr>
            <w:tcW w:w="3145" w:type="dxa"/>
            <w:gridSpan w:val="3"/>
            <w:tcBorders>
              <w:top w:val="nil"/>
              <w:left w:val="nil"/>
              <w:bottom w:val="nil"/>
              <w:right w:val="nil"/>
            </w:tcBorders>
            <w:shd w:val="clear" w:color="auto" w:fill="auto"/>
            <w:noWrap/>
            <w:vAlign w:val="bottom"/>
            <w:hideMark/>
          </w:tcPr>
          <w:p w:rsidR="006D5EB6" w:rsidRPr="00E15C4D" w:rsidRDefault="006D5EB6" w:rsidP="006D5EB6">
            <w:pPr>
              <w:spacing w:after="0" w:line="240" w:lineRule="auto"/>
              <w:jc w:val="center"/>
              <w:rPr>
                <w:rFonts w:ascii="Calibri" w:eastAsia="Times New Roman" w:hAnsi="Calibri" w:cs="Calibri"/>
                <w:color w:val="000000"/>
                <w:lang w:eastAsia="es-EC"/>
              </w:rPr>
            </w:pPr>
            <w:r w:rsidRPr="00E15C4D">
              <w:rPr>
                <w:rFonts w:ascii="Calibri" w:eastAsia="Times New Roman" w:hAnsi="Calibri" w:cs="Calibri"/>
                <w:color w:val="000000"/>
                <w:lang w:eastAsia="es-EC"/>
              </w:rPr>
              <w:t>AYACUCHO 276 Y OLMEDO</w:t>
            </w:r>
          </w:p>
        </w:tc>
        <w:tc>
          <w:tcPr>
            <w:tcW w:w="1143" w:type="dxa"/>
            <w:tcBorders>
              <w:top w:val="nil"/>
              <w:left w:val="nil"/>
              <w:bottom w:val="nil"/>
              <w:right w:val="nil"/>
            </w:tcBorders>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p>
        </w:tc>
        <w:tc>
          <w:tcPr>
            <w:tcW w:w="1335" w:type="dxa"/>
            <w:tcBorders>
              <w:top w:val="nil"/>
              <w:left w:val="nil"/>
              <w:bottom w:val="nil"/>
              <w:right w:val="nil"/>
            </w:tcBorders>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p>
        </w:tc>
        <w:tc>
          <w:tcPr>
            <w:tcW w:w="1236" w:type="dxa"/>
            <w:tcBorders>
              <w:top w:val="nil"/>
              <w:left w:val="nil"/>
              <w:bottom w:val="nil"/>
              <w:right w:val="nil"/>
            </w:tcBorders>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p>
        </w:tc>
      </w:tr>
      <w:tr w:rsidR="006D5EB6" w:rsidRPr="00E15C4D" w:rsidTr="006D5EB6">
        <w:trPr>
          <w:trHeight w:val="307"/>
        </w:trPr>
        <w:tc>
          <w:tcPr>
            <w:tcW w:w="3315" w:type="dxa"/>
            <w:tcBorders>
              <w:top w:val="nil"/>
              <w:left w:val="nil"/>
              <w:bottom w:val="nil"/>
              <w:right w:val="nil"/>
            </w:tcBorders>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p>
        </w:tc>
        <w:tc>
          <w:tcPr>
            <w:tcW w:w="3145" w:type="dxa"/>
            <w:gridSpan w:val="3"/>
            <w:tcBorders>
              <w:top w:val="nil"/>
              <w:left w:val="nil"/>
              <w:bottom w:val="nil"/>
              <w:right w:val="nil"/>
            </w:tcBorders>
            <w:shd w:val="clear" w:color="auto" w:fill="auto"/>
            <w:noWrap/>
            <w:vAlign w:val="bottom"/>
            <w:hideMark/>
          </w:tcPr>
          <w:p w:rsidR="006D5EB6" w:rsidRPr="00E15C4D" w:rsidRDefault="006D5EB6" w:rsidP="006D5EB6">
            <w:pPr>
              <w:spacing w:after="0" w:line="240" w:lineRule="auto"/>
              <w:jc w:val="center"/>
              <w:rPr>
                <w:rFonts w:ascii="Calibri" w:eastAsia="Times New Roman" w:hAnsi="Calibri" w:cs="Calibri"/>
                <w:color w:val="000000"/>
                <w:lang w:eastAsia="es-EC"/>
              </w:rPr>
            </w:pPr>
            <w:r w:rsidRPr="00E15C4D">
              <w:rPr>
                <w:rFonts w:ascii="Calibri" w:eastAsia="Times New Roman" w:hAnsi="Calibri" w:cs="Calibri"/>
                <w:color w:val="000000"/>
                <w:lang w:eastAsia="es-EC"/>
              </w:rPr>
              <w:t xml:space="preserve">BALANCE GENERAL </w:t>
            </w:r>
          </w:p>
        </w:tc>
        <w:tc>
          <w:tcPr>
            <w:tcW w:w="1143" w:type="dxa"/>
            <w:tcBorders>
              <w:top w:val="nil"/>
              <w:left w:val="nil"/>
              <w:bottom w:val="nil"/>
              <w:right w:val="nil"/>
            </w:tcBorders>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p>
        </w:tc>
        <w:tc>
          <w:tcPr>
            <w:tcW w:w="1335" w:type="dxa"/>
            <w:tcBorders>
              <w:top w:val="nil"/>
              <w:left w:val="nil"/>
              <w:bottom w:val="nil"/>
              <w:right w:val="nil"/>
            </w:tcBorders>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p>
        </w:tc>
        <w:tc>
          <w:tcPr>
            <w:tcW w:w="1236" w:type="dxa"/>
            <w:tcBorders>
              <w:top w:val="nil"/>
              <w:left w:val="nil"/>
              <w:bottom w:val="nil"/>
              <w:right w:val="nil"/>
            </w:tcBorders>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p>
        </w:tc>
      </w:tr>
      <w:tr w:rsidR="006D5EB6" w:rsidRPr="00E15C4D" w:rsidTr="006D5EB6">
        <w:trPr>
          <w:trHeight w:val="307"/>
        </w:trPr>
        <w:tc>
          <w:tcPr>
            <w:tcW w:w="3315" w:type="dxa"/>
            <w:tcBorders>
              <w:top w:val="nil"/>
              <w:left w:val="nil"/>
              <w:bottom w:val="nil"/>
              <w:right w:val="nil"/>
            </w:tcBorders>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p>
        </w:tc>
        <w:tc>
          <w:tcPr>
            <w:tcW w:w="3145" w:type="dxa"/>
            <w:gridSpan w:val="3"/>
            <w:tcBorders>
              <w:top w:val="nil"/>
              <w:left w:val="nil"/>
              <w:bottom w:val="nil"/>
              <w:right w:val="nil"/>
            </w:tcBorders>
            <w:shd w:val="clear" w:color="auto" w:fill="auto"/>
            <w:noWrap/>
            <w:vAlign w:val="bottom"/>
            <w:hideMark/>
          </w:tcPr>
          <w:p w:rsidR="006D5EB6" w:rsidRPr="00E15C4D" w:rsidRDefault="006D5EB6" w:rsidP="006D5EB6">
            <w:pPr>
              <w:spacing w:after="0" w:line="240" w:lineRule="auto"/>
              <w:jc w:val="center"/>
              <w:rPr>
                <w:rFonts w:ascii="Calibri" w:eastAsia="Times New Roman" w:hAnsi="Calibri" w:cs="Calibri"/>
                <w:color w:val="000000"/>
                <w:lang w:eastAsia="es-EC"/>
              </w:rPr>
            </w:pPr>
            <w:r w:rsidRPr="00E15C4D">
              <w:rPr>
                <w:rFonts w:ascii="Calibri" w:eastAsia="Times New Roman" w:hAnsi="Calibri" w:cs="Calibri"/>
                <w:color w:val="000000"/>
                <w:lang w:eastAsia="es-EC"/>
              </w:rPr>
              <w:t>Desde 01-01-2011 Hasta 31-12-2011</w:t>
            </w:r>
          </w:p>
        </w:tc>
        <w:tc>
          <w:tcPr>
            <w:tcW w:w="1143" w:type="dxa"/>
            <w:tcBorders>
              <w:top w:val="nil"/>
              <w:left w:val="nil"/>
              <w:bottom w:val="nil"/>
              <w:right w:val="nil"/>
            </w:tcBorders>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p>
        </w:tc>
        <w:tc>
          <w:tcPr>
            <w:tcW w:w="1335" w:type="dxa"/>
            <w:tcBorders>
              <w:top w:val="nil"/>
              <w:left w:val="nil"/>
              <w:bottom w:val="nil"/>
              <w:right w:val="nil"/>
            </w:tcBorders>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p>
        </w:tc>
        <w:tc>
          <w:tcPr>
            <w:tcW w:w="1236" w:type="dxa"/>
            <w:tcBorders>
              <w:top w:val="nil"/>
              <w:left w:val="nil"/>
              <w:bottom w:val="nil"/>
              <w:right w:val="nil"/>
            </w:tcBorders>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p>
        </w:tc>
      </w:tr>
      <w:tr w:rsidR="006D5EB6" w:rsidRPr="00E15C4D" w:rsidTr="006D5EB6">
        <w:trPr>
          <w:trHeight w:val="307"/>
        </w:trPr>
        <w:tc>
          <w:tcPr>
            <w:tcW w:w="3315" w:type="dxa"/>
            <w:tcBorders>
              <w:top w:val="nil"/>
              <w:left w:val="nil"/>
              <w:bottom w:val="single" w:sz="4" w:space="0" w:color="00B050"/>
              <w:right w:val="nil"/>
            </w:tcBorders>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p>
        </w:tc>
        <w:tc>
          <w:tcPr>
            <w:tcW w:w="146" w:type="dxa"/>
            <w:tcBorders>
              <w:top w:val="nil"/>
              <w:left w:val="nil"/>
              <w:bottom w:val="single" w:sz="4" w:space="0" w:color="00B050"/>
              <w:right w:val="nil"/>
            </w:tcBorders>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p>
        </w:tc>
        <w:tc>
          <w:tcPr>
            <w:tcW w:w="1075" w:type="dxa"/>
            <w:tcBorders>
              <w:top w:val="nil"/>
              <w:left w:val="nil"/>
              <w:bottom w:val="single" w:sz="4" w:space="0" w:color="00B050"/>
              <w:right w:val="nil"/>
            </w:tcBorders>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p>
        </w:tc>
        <w:tc>
          <w:tcPr>
            <w:tcW w:w="1924" w:type="dxa"/>
            <w:tcBorders>
              <w:top w:val="nil"/>
              <w:left w:val="nil"/>
              <w:bottom w:val="single" w:sz="4" w:space="0" w:color="00B050"/>
              <w:right w:val="nil"/>
            </w:tcBorders>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p>
        </w:tc>
        <w:tc>
          <w:tcPr>
            <w:tcW w:w="1143" w:type="dxa"/>
            <w:tcBorders>
              <w:top w:val="nil"/>
              <w:left w:val="nil"/>
              <w:bottom w:val="single" w:sz="4" w:space="0" w:color="00B050"/>
              <w:right w:val="nil"/>
            </w:tcBorders>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p>
        </w:tc>
        <w:tc>
          <w:tcPr>
            <w:tcW w:w="1335" w:type="dxa"/>
            <w:tcBorders>
              <w:top w:val="nil"/>
              <w:left w:val="nil"/>
              <w:bottom w:val="single" w:sz="4" w:space="0" w:color="00B050"/>
              <w:right w:val="nil"/>
            </w:tcBorders>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p>
        </w:tc>
        <w:tc>
          <w:tcPr>
            <w:tcW w:w="1236" w:type="dxa"/>
            <w:tcBorders>
              <w:top w:val="nil"/>
              <w:left w:val="nil"/>
              <w:bottom w:val="single" w:sz="4" w:space="0" w:color="00B050"/>
              <w:right w:val="nil"/>
            </w:tcBorders>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p>
        </w:tc>
      </w:tr>
      <w:tr w:rsidR="006D5EB6" w:rsidRPr="00E15C4D" w:rsidTr="006D5EB6">
        <w:trPr>
          <w:trHeight w:val="307"/>
        </w:trPr>
        <w:tc>
          <w:tcPr>
            <w:tcW w:w="4536" w:type="dxa"/>
            <w:gridSpan w:val="3"/>
            <w:vMerge w:val="restart"/>
            <w:tcBorders>
              <w:top w:val="single" w:sz="4" w:space="0" w:color="00B050"/>
            </w:tcBorders>
            <w:shd w:val="clear" w:color="auto" w:fill="auto"/>
            <w:noWrap/>
            <w:vAlign w:val="center"/>
            <w:hideMark/>
          </w:tcPr>
          <w:p w:rsidR="006D5EB6" w:rsidRPr="00E15C4D" w:rsidRDefault="006D5EB6" w:rsidP="006D5EB6">
            <w:pPr>
              <w:spacing w:after="0" w:line="240" w:lineRule="auto"/>
              <w:jc w:val="center"/>
              <w:rPr>
                <w:rFonts w:ascii="Calibri" w:eastAsia="Times New Roman" w:hAnsi="Calibri" w:cs="Calibri"/>
                <w:b/>
                <w:bCs/>
                <w:color w:val="376091"/>
                <w:lang w:eastAsia="es-EC"/>
              </w:rPr>
            </w:pPr>
            <w:r w:rsidRPr="00E15C4D">
              <w:rPr>
                <w:rFonts w:ascii="Calibri" w:eastAsia="Times New Roman" w:hAnsi="Calibri" w:cs="Calibri"/>
                <w:b/>
                <w:bCs/>
                <w:color w:val="376091"/>
                <w:lang w:eastAsia="es-EC"/>
              </w:rPr>
              <w:t>Descripción de la Cuenta</w:t>
            </w:r>
          </w:p>
        </w:tc>
        <w:tc>
          <w:tcPr>
            <w:tcW w:w="1924" w:type="dxa"/>
            <w:vMerge w:val="restart"/>
            <w:tcBorders>
              <w:top w:val="single" w:sz="4" w:space="0" w:color="00B050"/>
            </w:tcBorders>
            <w:shd w:val="clear" w:color="auto" w:fill="auto"/>
            <w:noWrap/>
            <w:vAlign w:val="center"/>
            <w:hideMark/>
          </w:tcPr>
          <w:p w:rsidR="006D5EB6" w:rsidRPr="00E15C4D" w:rsidRDefault="006D5EB6" w:rsidP="006D5EB6">
            <w:pPr>
              <w:spacing w:after="0" w:line="240" w:lineRule="auto"/>
              <w:jc w:val="center"/>
              <w:rPr>
                <w:rFonts w:ascii="Calibri" w:eastAsia="Times New Roman" w:hAnsi="Calibri" w:cs="Calibri"/>
                <w:b/>
                <w:bCs/>
                <w:color w:val="376091"/>
                <w:lang w:eastAsia="es-EC"/>
              </w:rPr>
            </w:pPr>
            <w:r w:rsidRPr="00E15C4D">
              <w:rPr>
                <w:rFonts w:ascii="Calibri" w:eastAsia="Times New Roman" w:hAnsi="Calibri" w:cs="Calibri"/>
                <w:b/>
                <w:bCs/>
                <w:color w:val="376091"/>
                <w:lang w:eastAsia="es-EC"/>
              </w:rPr>
              <w:t>2010</w:t>
            </w:r>
          </w:p>
        </w:tc>
        <w:tc>
          <w:tcPr>
            <w:tcW w:w="1143" w:type="dxa"/>
            <w:vMerge w:val="restart"/>
            <w:tcBorders>
              <w:top w:val="single" w:sz="4" w:space="0" w:color="00B050"/>
            </w:tcBorders>
            <w:shd w:val="clear" w:color="auto" w:fill="auto"/>
            <w:noWrap/>
            <w:vAlign w:val="center"/>
            <w:hideMark/>
          </w:tcPr>
          <w:p w:rsidR="006D5EB6" w:rsidRPr="00E15C4D" w:rsidRDefault="006D5EB6" w:rsidP="006D5EB6">
            <w:pPr>
              <w:spacing w:after="0" w:line="240" w:lineRule="auto"/>
              <w:jc w:val="center"/>
              <w:rPr>
                <w:rFonts w:ascii="Calibri" w:eastAsia="Times New Roman" w:hAnsi="Calibri" w:cs="Calibri"/>
                <w:b/>
                <w:bCs/>
                <w:color w:val="376091"/>
                <w:lang w:eastAsia="es-EC"/>
              </w:rPr>
            </w:pPr>
            <w:r w:rsidRPr="00E15C4D">
              <w:rPr>
                <w:rFonts w:ascii="Calibri" w:eastAsia="Times New Roman" w:hAnsi="Calibri" w:cs="Calibri"/>
                <w:b/>
                <w:bCs/>
                <w:color w:val="376091"/>
                <w:lang w:eastAsia="es-EC"/>
              </w:rPr>
              <w:t>2011</w:t>
            </w:r>
          </w:p>
        </w:tc>
        <w:tc>
          <w:tcPr>
            <w:tcW w:w="1335" w:type="dxa"/>
            <w:vMerge w:val="restart"/>
            <w:tcBorders>
              <w:top w:val="single" w:sz="4" w:space="0" w:color="00B050"/>
            </w:tcBorders>
            <w:shd w:val="clear" w:color="auto" w:fill="auto"/>
            <w:noWrap/>
            <w:vAlign w:val="center"/>
            <w:hideMark/>
          </w:tcPr>
          <w:p w:rsidR="006D5EB6" w:rsidRPr="00E15C4D" w:rsidRDefault="006D5EB6" w:rsidP="006D5EB6">
            <w:pPr>
              <w:spacing w:after="0" w:line="240" w:lineRule="auto"/>
              <w:jc w:val="center"/>
              <w:rPr>
                <w:rFonts w:ascii="Calibri" w:eastAsia="Times New Roman" w:hAnsi="Calibri" w:cs="Calibri"/>
                <w:b/>
                <w:bCs/>
                <w:color w:val="376091"/>
                <w:lang w:eastAsia="es-EC"/>
              </w:rPr>
            </w:pPr>
            <w:r w:rsidRPr="00E15C4D">
              <w:rPr>
                <w:rFonts w:ascii="Calibri" w:eastAsia="Times New Roman" w:hAnsi="Calibri" w:cs="Calibri"/>
                <w:b/>
                <w:bCs/>
                <w:color w:val="376091"/>
                <w:lang w:eastAsia="es-EC"/>
              </w:rPr>
              <w:t xml:space="preserve">Valor Absoluto </w:t>
            </w:r>
          </w:p>
        </w:tc>
        <w:tc>
          <w:tcPr>
            <w:tcW w:w="1236" w:type="dxa"/>
            <w:vMerge w:val="restart"/>
            <w:tcBorders>
              <w:top w:val="single" w:sz="4" w:space="0" w:color="00B050"/>
            </w:tcBorders>
            <w:shd w:val="clear" w:color="auto" w:fill="auto"/>
            <w:noWrap/>
            <w:vAlign w:val="center"/>
            <w:hideMark/>
          </w:tcPr>
          <w:p w:rsidR="006D5EB6" w:rsidRPr="00E15C4D" w:rsidRDefault="006D5EB6" w:rsidP="006D5EB6">
            <w:pPr>
              <w:spacing w:after="0" w:line="240" w:lineRule="auto"/>
              <w:jc w:val="center"/>
              <w:rPr>
                <w:rFonts w:ascii="Calibri" w:eastAsia="Times New Roman" w:hAnsi="Calibri" w:cs="Calibri"/>
                <w:b/>
                <w:bCs/>
                <w:color w:val="376091"/>
                <w:lang w:eastAsia="es-EC"/>
              </w:rPr>
            </w:pPr>
            <w:r w:rsidRPr="00E15C4D">
              <w:rPr>
                <w:rFonts w:ascii="Calibri" w:eastAsia="Times New Roman" w:hAnsi="Calibri" w:cs="Calibri"/>
                <w:b/>
                <w:bCs/>
                <w:color w:val="376091"/>
                <w:lang w:eastAsia="es-EC"/>
              </w:rPr>
              <w:t>Valor Relativo</w:t>
            </w:r>
          </w:p>
        </w:tc>
      </w:tr>
      <w:tr w:rsidR="006D5EB6" w:rsidRPr="00E15C4D" w:rsidTr="006D5EB6">
        <w:trPr>
          <w:trHeight w:val="307"/>
        </w:trPr>
        <w:tc>
          <w:tcPr>
            <w:tcW w:w="4536" w:type="dxa"/>
            <w:gridSpan w:val="3"/>
            <w:vMerge/>
            <w:vAlign w:val="center"/>
            <w:hideMark/>
          </w:tcPr>
          <w:p w:rsidR="006D5EB6" w:rsidRPr="00E15C4D" w:rsidRDefault="006D5EB6" w:rsidP="006D5EB6">
            <w:pPr>
              <w:spacing w:after="0" w:line="240" w:lineRule="auto"/>
              <w:rPr>
                <w:rFonts w:ascii="Calibri" w:eastAsia="Times New Roman" w:hAnsi="Calibri" w:cs="Calibri"/>
                <w:b/>
                <w:bCs/>
                <w:color w:val="376091"/>
                <w:lang w:eastAsia="es-EC"/>
              </w:rPr>
            </w:pPr>
          </w:p>
        </w:tc>
        <w:tc>
          <w:tcPr>
            <w:tcW w:w="1924" w:type="dxa"/>
            <w:vMerge/>
            <w:vAlign w:val="center"/>
            <w:hideMark/>
          </w:tcPr>
          <w:p w:rsidR="006D5EB6" w:rsidRPr="00E15C4D" w:rsidRDefault="006D5EB6" w:rsidP="006D5EB6">
            <w:pPr>
              <w:spacing w:after="0" w:line="240" w:lineRule="auto"/>
              <w:rPr>
                <w:rFonts w:ascii="Calibri" w:eastAsia="Times New Roman" w:hAnsi="Calibri" w:cs="Calibri"/>
                <w:b/>
                <w:bCs/>
                <w:color w:val="376091"/>
                <w:lang w:eastAsia="es-EC"/>
              </w:rPr>
            </w:pPr>
          </w:p>
        </w:tc>
        <w:tc>
          <w:tcPr>
            <w:tcW w:w="1143" w:type="dxa"/>
            <w:vMerge/>
            <w:vAlign w:val="center"/>
            <w:hideMark/>
          </w:tcPr>
          <w:p w:rsidR="006D5EB6" w:rsidRPr="00E15C4D" w:rsidRDefault="006D5EB6" w:rsidP="006D5EB6">
            <w:pPr>
              <w:spacing w:after="0" w:line="240" w:lineRule="auto"/>
              <w:rPr>
                <w:rFonts w:ascii="Calibri" w:eastAsia="Times New Roman" w:hAnsi="Calibri" w:cs="Calibri"/>
                <w:b/>
                <w:bCs/>
                <w:color w:val="376091"/>
                <w:lang w:eastAsia="es-EC"/>
              </w:rPr>
            </w:pPr>
          </w:p>
        </w:tc>
        <w:tc>
          <w:tcPr>
            <w:tcW w:w="1335" w:type="dxa"/>
            <w:vMerge/>
            <w:vAlign w:val="center"/>
            <w:hideMark/>
          </w:tcPr>
          <w:p w:rsidR="006D5EB6" w:rsidRPr="00E15C4D" w:rsidRDefault="006D5EB6" w:rsidP="006D5EB6">
            <w:pPr>
              <w:spacing w:after="0" w:line="240" w:lineRule="auto"/>
              <w:rPr>
                <w:rFonts w:ascii="Calibri" w:eastAsia="Times New Roman" w:hAnsi="Calibri" w:cs="Calibri"/>
                <w:b/>
                <w:bCs/>
                <w:color w:val="376091"/>
                <w:lang w:eastAsia="es-EC"/>
              </w:rPr>
            </w:pPr>
          </w:p>
        </w:tc>
        <w:tc>
          <w:tcPr>
            <w:tcW w:w="1236" w:type="dxa"/>
            <w:vMerge/>
            <w:vAlign w:val="center"/>
            <w:hideMark/>
          </w:tcPr>
          <w:p w:rsidR="006D5EB6" w:rsidRPr="00E15C4D" w:rsidRDefault="006D5EB6" w:rsidP="006D5EB6">
            <w:pPr>
              <w:spacing w:after="0" w:line="240" w:lineRule="auto"/>
              <w:rPr>
                <w:rFonts w:ascii="Calibri" w:eastAsia="Times New Roman" w:hAnsi="Calibri" w:cs="Calibri"/>
                <w:b/>
                <w:bCs/>
                <w:color w:val="376091"/>
                <w:lang w:eastAsia="es-EC"/>
              </w:rPr>
            </w:pPr>
          </w:p>
        </w:tc>
      </w:tr>
      <w:tr w:rsidR="006D5EB6" w:rsidRPr="00E15C4D" w:rsidTr="006D5EB6">
        <w:trPr>
          <w:trHeight w:val="307"/>
        </w:trPr>
        <w:tc>
          <w:tcPr>
            <w:tcW w:w="4536" w:type="dxa"/>
            <w:gridSpan w:val="3"/>
            <w:shd w:val="clear" w:color="auto" w:fill="auto"/>
            <w:noWrap/>
            <w:vAlign w:val="bottom"/>
            <w:hideMark/>
          </w:tcPr>
          <w:p w:rsidR="006D5EB6" w:rsidRPr="00E15C4D" w:rsidRDefault="006D5EB6" w:rsidP="006D5EB6">
            <w:pPr>
              <w:spacing w:after="0" w:line="240" w:lineRule="auto"/>
              <w:rPr>
                <w:rFonts w:ascii="Calibri" w:eastAsia="Times New Roman" w:hAnsi="Calibri" w:cs="Calibri"/>
                <w:b/>
                <w:bCs/>
                <w:color w:val="000000"/>
                <w:lang w:eastAsia="es-EC"/>
              </w:rPr>
            </w:pPr>
            <w:r w:rsidRPr="00E15C4D">
              <w:rPr>
                <w:rFonts w:ascii="Calibri" w:eastAsia="Times New Roman" w:hAnsi="Calibri" w:cs="Calibri"/>
                <w:b/>
                <w:bCs/>
                <w:color w:val="000000"/>
                <w:lang w:eastAsia="es-EC"/>
              </w:rPr>
              <w:t>ACTIVOS</w:t>
            </w:r>
          </w:p>
        </w:tc>
        <w:tc>
          <w:tcPr>
            <w:tcW w:w="1924"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143"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335"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236"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r>
      <w:tr w:rsidR="006D5EB6" w:rsidRPr="00E15C4D" w:rsidTr="006D5EB6">
        <w:trPr>
          <w:trHeight w:val="307"/>
        </w:trPr>
        <w:tc>
          <w:tcPr>
            <w:tcW w:w="4536" w:type="dxa"/>
            <w:gridSpan w:val="3"/>
            <w:shd w:val="clear" w:color="auto" w:fill="auto"/>
            <w:noWrap/>
            <w:vAlign w:val="bottom"/>
            <w:hideMark/>
          </w:tcPr>
          <w:p w:rsidR="006D5EB6" w:rsidRPr="00E15C4D" w:rsidRDefault="006D5EB6" w:rsidP="006D5EB6">
            <w:pPr>
              <w:spacing w:after="0" w:line="240" w:lineRule="auto"/>
              <w:rPr>
                <w:rFonts w:ascii="Calibri" w:eastAsia="Times New Roman" w:hAnsi="Calibri" w:cs="Calibri"/>
                <w:b/>
                <w:bCs/>
                <w:color w:val="8064A2"/>
                <w:lang w:eastAsia="es-EC"/>
              </w:rPr>
            </w:pPr>
            <w:r w:rsidRPr="00E15C4D">
              <w:rPr>
                <w:rFonts w:ascii="Calibri" w:eastAsia="Times New Roman" w:hAnsi="Calibri" w:cs="Calibri"/>
                <w:b/>
                <w:bCs/>
                <w:color w:val="8064A2"/>
                <w:lang w:eastAsia="es-EC"/>
              </w:rPr>
              <w:t>ACTIVOS CORRIENTES</w:t>
            </w:r>
          </w:p>
        </w:tc>
        <w:tc>
          <w:tcPr>
            <w:tcW w:w="1924"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176.824,96</w:t>
            </w:r>
          </w:p>
        </w:tc>
        <w:tc>
          <w:tcPr>
            <w:tcW w:w="1143"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177.303,31</w:t>
            </w:r>
          </w:p>
        </w:tc>
        <w:tc>
          <w:tcPr>
            <w:tcW w:w="1335"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236"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r>
      <w:tr w:rsidR="006D5EB6" w:rsidRPr="00E15C4D" w:rsidTr="006D5EB6">
        <w:trPr>
          <w:trHeight w:val="307"/>
        </w:trPr>
        <w:tc>
          <w:tcPr>
            <w:tcW w:w="4536" w:type="dxa"/>
            <w:gridSpan w:val="3"/>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DISPONIBLES</w:t>
            </w:r>
          </w:p>
        </w:tc>
        <w:tc>
          <w:tcPr>
            <w:tcW w:w="1924"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143"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335"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236"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r>
      <w:tr w:rsidR="006D5EB6" w:rsidRPr="00E15C4D" w:rsidTr="006D5EB6">
        <w:trPr>
          <w:trHeight w:val="307"/>
        </w:trPr>
        <w:tc>
          <w:tcPr>
            <w:tcW w:w="4536" w:type="dxa"/>
            <w:gridSpan w:val="3"/>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Caja</w:t>
            </w:r>
          </w:p>
        </w:tc>
        <w:tc>
          <w:tcPr>
            <w:tcW w:w="1924"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100</w:t>
            </w:r>
          </w:p>
        </w:tc>
        <w:tc>
          <w:tcPr>
            <w:tcW w:w="1143"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0</w:t>
            </w:r>
          </w:p>
        </w:tc>
        <w:tc>
          <w:tcPr>
            <w:tcW w:w="1335"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-100</w:t>
            </w:r>
          </w:p>
        </w:tc>
        <w:tc>
          <w:tcPr>
            <w:tcW w:w="1236"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-100</w:t>
            </w:r>
          </w:p>
        </w:tc>
      </w:tr>
      <w:tr w:rsidR="006D5EB6" w:rsidRPr="00E15C4D" w:rsidTr="006D5EB6">
        <w:trPr>
          <w:trHeight w:val="307"/>
        </w:trPr>
        <w:tc>
          <w:tcPr>
            <w:tcW w:w="4536" w:type="dxa"/>
            <w:gridSpan w:val="3"/>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Banco</w:t>
            </w:r>
          </w:p>
        </w:tc>
        <w:tc>
          <w:tcPr>
            <w:tcW w:w="1924"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31.999,16</w:t>
            </w:r>
          </w:p>
        </w:tc>
        <w:tc>
          <w:tcPr>
            <w:tcW w:w="1143"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27.568,33</w:t>
            </w:r>
          </w:p>
        </w:tc>
        <w:tc>
          <w:tcPr>
            <w:tcW w:w="1335"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-4.430,83</w:t>
            </w:r>
          </w:p>
        </w:tc>
        <w:tc>
          <w:tcPr>
            <w:tcW w:w="1236"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-13,85</w:t>
            </w:r>
          </w:p>
        </w:tc>
      </w:tr>
      <w:tr w:rsidR="006D5EB6" w:rsidRPr="00E15C4D" w:rsidTr="006D5EB6">
        <w:trPr>
          <w:trHeight w:val="307"/>
        </w:trPr>
        <w:tc>
          <w:tcPr>
            <w:tcW w:w="4536" w:type="dxa"/>
            <w:gridSpan w:val="3"/>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EXIGIBLES</w:t>
            </w:r>
          </w:p>
        </w:tc>
        <w:tc>
          <w:tcPr>
            <w:tcW w:w="1924"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143"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335"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9966FF"/>
                <w:lang w:eastAsia="es-EC"/>
              </w:rPr>
            </w:pPr>
            <w:r w:rsidRPr="00E15C4D">
              <w:rPr>
                <w:rFonts w:ascii="Calibri" w:eastAsia="Times New Roman" w:hAnsi="Calibri" w:cs="Calibri"/>
                <w:color w:val="9966FF"/>
                <w:lang w:eastAsia="es-EC"/>
              </w:rPr>
              <w:t> </w:t>
            </w:r>
          </w:p>
        </w:tc>
        <w:tc>
          <w:tcPr>
            <w:tcW w:w="1236"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9966FF"/>
                <w:lang w:eastAsia="es-EC"/>
              </w:rPr>
            </w:pPr>
            <w:r>
              <w:rPr>
                <w:rFonts w:ascii="Calibri" w:eastAsia="Times New Roman" w:hAnsi="Calibri" w:cs="Calibri"/>
                <w:noProof/>
                <w:color w:val="9966FF"/>
                <w:lang w:eastAsia="es-EC"/>
              </w:rPr>
              <w:pict>
                <v:shape id="_x0000_s1028" type="#_x0000_t106" style="position:absolute;margin-left:72.75pt;margin-top:11.25pt;width:116.4pt;height:84pt;z-index:251665408;mso-position-horizontal-relative:text;mso-position-vertical-relative:text" adj="1011,28041" fillcolor="white [3201]" strokecolor="#7cca62 [3208]" strokeweight="2.5pt">
                  <v:shadow color="#868686"/>
                  <v:textbox>
                    <w:txbxContent>
                      <w:p w:rsidR="006D5EB6" w:rsidRDefault="006D5EB6" w:rsidP="006D5EB6">
                        <w:r>
                          <w:t>ESTRUCTURA</w:t>
                        </w:r>
                      </w:p>
                      <w:p w:rsidR="006D5EB6" w:rsidRDefault="006D5EB6" w:rsidP="006D5EB6">
                        <w:r>
                          <w:t>ECONÓMICA</w:t>
                        </w:r>
                      </w:p>
                    </w:txbxContent>
                  </v:textbox>
                </v:shape>
              </w:pict>
            </w:r>
            <w:r w:rsidRPr="00E15C4D">
              <w:rPr>
                <w:rFonts w:ascii="Calibri" w:eastAsia="Times New Roman" w:hAnsi="Calibri" w:cs="Calibri"/>
                <w:color w:val="9966FF"/>
                <w:lang w:eastAsia="es-EC"/>
              </w:rPr>
              <w:t> </w:t>
            </w:r>
          </w:p>
        </w:tc>
      </w:tr>
      <w:tr w:rsidR="006D5EB6" w:rsidRPr="00E15C4D" w:rsidTr="006D5EB6">
        <w:trPr>
          <w:trHeight w:val="307"/>
        </w:trPr>
        <w:tc>
          <w:tcPr>
            <w:tcW w:w="4536" w:type="dxa"/>
            <w:gridSpan w:val="3"/>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Cuentas por Cobrar</w:t>
            </w:r>
          </w:p>
        </w:tc>
        <w:tc>
          <w:tcPr>
            <w:tcW w:w="1924"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4.073,00</w:t>
            </w:r>
          </w:p>
        </w:tc>
        <w:tc>
          <w:tcPr>
            <w:tcW w:w="1143"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2.184,00</w:t>
            </w:r>
          </w:p>
        </w:tc>
        <w:tc>
          <w:tcPr>
            <w:tcW w:w="1335"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-1.889,00</w:t>
            </w:r>
          </w:p>
        </w:tc>
        <w:tc>
          <w:tcPr>
            <w:tcW w:w="1236"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-46,38</w:t>
            </w:r>
          </w:p>
        </w:tc>
      </w:tr>
      <w:tr w:rsidR="006D5EB6" w:rsidRPr="00E15C4D" w:rsidTr="006D5EB6">
        <w:trPr>
          <w:trHeight w:val="307"/>
        </w:trPr>
        <w:tc>
          <w:tcPr>
            <w:tcW w:w="4536" w:type="dxa"/>
            <w:gridSpan w:val="3"/>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Préstamos a Socios</w:t>
            </w:r>
          </w:p>
        </w:tc>
        <w:tc>
          <w:tcPr>
            <w:tcW w:w="1924"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126.915,13</w:t>
            </w:r>
          </w:p>
        </w:tc>
        <w:tc>
          <w:tcPr>
            <w:tcW w:w="1143"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128.171,16</w:t>
            </w:r>
          </w:p>
        </w:tc>
        <w:tc>
          <w:tcPr>
            <w:tcW w:w="1335"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1.256,03</w:t>
            </w:r>
          </w:p>
        </w:tc>
        <w:tc>
          <w:tcPr>
            <w:tcW w:w="1236"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0,99</w:t>
            </w:r>
          </w:p>
        </w:tc>
      </w:tr>
      <w:tr w:rsidR="006D5EB6" w:rsidRPr="00E15C4D" w:rsidTr="006D5EB6">
        <w:trPr>
          <w:trHeight w:val="307"/>
        </w:trPr>
        <w:tc>
          <w:tcPr>
            <w:tcW w:w="4536" w:type="dxa"/>
            <w:gridSpan w:val="3"/>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REALIZABLES</w:t>
            </w:r>
          </w:p>
        </w:tc>
        <w:tc>
          <w:tcPr>
            <w:tcW w:w="1924"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143"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335"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9966FF"/>
                <w:lang w:eastAsia="es-EC"/>
              </w:rPr>
            </w:pPr>
            <w:r w:rsidRPr="00E15C4D">
              <w:rPr>
                <w:rFonts w:ascii="Calibri" w:eastAsia="Times New Roman" w:hAnsi="Calibri" w:cs="Calibri"/>
                <w:color w:val="9966FF"/>
                <w:lang w:eastAsia="es-EC"/>
              </w:rPr>
              <w:t> </w:t>
            </w:r>
          </w:p>
        </w:tc>
        <w:tc>
          <w:tcPr>
            <w:tcW w:w="1236"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9966FF"/>
                <w:lang w:eastAsia="es-EC"/>
              </w:rPr>
            </w:pPr>
            <w:r w:rsidRPr="00E15C4D">
              <w:rPr>
                <w:rFonts w:ascii="Calibri" w:eastAsia="Times New Roman" w:hAnsi="Calibri" w:cs="Calibri"/>
                <w:color w:val="9966FF"/>
                <w:lang w:eastAsia="es-EC"/>
              </w:rPr>
              <w:t> </w:t>
            </w:r>
          </w:p>
        </w:tc>
      </w:tr>
      <w:tr w:rsidR="006D5EB6" w:rsidRPr="00E15C4D" w:rsidTr="006D5EB6">
        <w:trPr>
          <w:trHeight w:val="307"/>
        </w:trPr>
        <w:tc>
          <w:tcPr>
            <w:tcW w:w="4536" w:type="dxa"/>
            <w:gridSpan w:val="3"/>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Inversiones Pólizas</w:t>
            </w:r>
          </w:p>
        </w:tc>
        <w:tc>
          <w:tcPr>
            <w:tcW w:w="1924"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13.737,67</w:t>
            </w:r>
          </w:p>
        </w:tc>
        <w:tc>
          <w:tcPr>
            <w:tcW w:w="1143"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19.379,82</w:t>
            </w:r>
          </w:p>
        </w:tc>
        <w:tc>
          <w:tcPr>
            <w:tcW w:w="1335"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5.642,15</w:t>
            </w:r>
          </w:p>
        </w:tc>
        <w:tc>
          <w:tcPr>
            <w:tcW w:w="1236"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41,07</w:t>
            </w:r>
          </w:p>
        </w:tc>
      </w:tr>
      <w:tr w:rsidR="006D5EB6" w:rsidRPr="00E15C4D" w:rsidTr="006D5EB6">
        <w:trPr>
          <w:trHeight w:val="307"/>
        </w:trPr>
        <w:tc>
          <w:tcPr>
            <w:tcW w:w="4536" w:type="dxa"/>
            <w:gridSpan w:val="3"/>
            <w:shd w:val="clear" w:color="auto" w:fill="auto"/>
            <w:noWrap/>
            <w:vAlign w:val="bottom"/>
            <w:hideMark/>
          </w:tcPr>
          <w:p w:rsidR="006D5EB6" w:rsidRPr="00E15C4D" w:rsidRDefault="006D5EB6" w:rsidP="006D5EB6">
            <w:pPr>
              <w:spacing w:after="0" w:line="240" w:lineRule="auto"/>
              <w:rPr>
                <w:rFonts w:ascii="Calibri" w:eastAsia="Times New Roman" w:hAnsi="Calibri" w:cs="Calibri"/>
                <w:b/>
                <w:bCs/>
                <w:color w:val="8064A2"/>
                <w:lang w:eastAsia="es-EC"/>
              </w:rPr>
            </w:pPr>
            <w:r w:rsidRPr="00E15C4D">
              <w:rPr>
                <w:rFonts w:ascii="Calibri" w:eastAsia="Times New Roman" w:hAnsi="Calibri" w:cs="Calibri"/>
                <w:b/>
                <w:bCs/>
                <w:color w:val="8064A2"/>
                <w:lang w:eastAsia="es-EC"/>
              </w:rPr>
              <w:t>ACTIVOS NO CORRIENTES</w:t>
            </w:r>
          </w:p>
        </w:tc>
        <w:tc>
          <w:tcPr>
            <w:tcW w:w="1924"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143"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335"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9966FF"/>
                <w:lang w:eastAsia="es-EC"/>
              </w:rPr>
            </w:pPr>
            <w:r w:rsidRPr="00E15C4D">
              <w:rPr>
                <w:rFonts w:ascii="Calibri" w:eastAsia="Times New Roman" w:hAnsi="Calibri" w:cs="Calibri"/>
                <w:color w:val="9966FF"/>
                <w:lang w:eastAsia="es-EC"/>
              </w:rPr>
              <w:t> </w:t>
            </w:r>
          </w:p>
        </w:tc>
        <w:tc>
          <w:tcPr>
            <w:tcW w:w="1236"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9966FF"/>
                <w:lang w:eastAsia="es-EC"/>
              </w:rPr>
            </w:pPr>
            <w:r w:rsidRPr="00E15C4D">
              <w:rPr>
                <w:rFonts w:ascii="Calibri" w:eastAsia="Times New Roman" w:hAnsi="Calibri" w:cs="Calibri"/>
                <w:color w:val="9966FF"/>
                <w:lang w:eastAsia="es-EC"/>
              </w:rPr>
              <w:t> </w:t>
            </w:r>
          </w:p>
        </w:tc>
      </w:tr>
      <w:tr w:rsidR="006D5EB6" w:rsidRPr="00E15C4D" w:rsidTr="006D5EB6">
        <w:trPr>
          <w:trHeight w:val="307"/>
        </w:trPr>
        <w:tc>
          <w:tcPr>
            <w:tcW w:w="4536" w:type="dxa"/>
            <w:gridSpan w:val="3"/>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FIJOS</w:t>
            </w:r>
          </w:p>
        </w:tc>
        <w:tc>
          <w:tcPr>
            <w:tcW w:w="1924"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143"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335"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9966FF"/>
                <w:lang w:eastAsia="es-EC"/>
              </w:rPr>
            </w:pPr>
            <w:r w:rsidRPr="00E15C4D">
              <w:rPr>
                <w:rFonts w:ascii="Calibri" w:eastAsia="Times New Roman" w:hAnsi="Calibri" w:cs="Calibri"/>
                <w:color w:val="9966FF"/>
                <w:lang w:eastAsia="es-EC"/>
              </w:rPr>
              <w:t> </w:t>
            </w:r>
          </w:p>
        </w:tc>
        <w:tc>
          <w:tcPr>
            <w:tcW w:w="1236"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9966FF"/>
                <w:lang w:eastAsia="es-EC"/>
              </w:rPr>
            </w:pPr>
            <w:r w:rsidRPr="00E15C4D">
              <w:rPr>
                <w:rFonts w:ascii="Calibri" w:eastAsia="Times New Roman" w:hAnsi="Calibri" w:cs="Calibri"/>
                <w:color w:val="9966FF"/>
                <w:lang w:eastAsia="es-EC"/>
              </w:rPr>
              <w:t> </w:t>
            </w:r>
          </w:p>
        </w:tc>
      </w:tr>
      <w:tr w:rsidR="006D5EB6" w:rsidRPr="00E15C4D" w:rsidTr="006D5EB6">
        <w:trPr>
          <w:trHeight w:val="307"/>
        </w:trPr>
        <w:tc>
          <w:tcPr>
            <w:tcW w:w="4536" w:type="dxa"/>
            <w:gridSpan w:val="3"/>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Terrenos</w:t>
            </w:r>
          </w:p>
        </w:tc>
        <w:tc>
          <w:tcPr>
            <w:tcW w:w="1924"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172.981,96</w:t>
            </w:r>
          </w:p>
        </w:tc>
        <w:tc>
          <w:tcPr>
            <w:tcW w:w="1143"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49.881,77</w:t>
            </w:r>
          </w:p>
        </w:tc>
        <w:tc>
          <w:tcPr>
            <w:tcW w:w="1335"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-123.100,19</w:t>
            </w:r>
          </w:p>
        </w:tc>
        <w:tc>
          <w:tcPr>
            <w:tcW w:w="1236"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-71,16</w:t>
            </w:r>
          </w:p>
        </w:tc>
      </w:tr>
      <w:tr w:rsidR="006D5EB6" w:rsidRPr="00E15C4D" w:rsidTr="006D5EB6">
        <w:trPr>
          <w:trHeight w:val="307"/>
        </w:trPr>
        <w:tc>
          <w:tcPr>
            <w:tcW w:w="4536" w:type="dxa"/>
            <w:gridSpan w:val="3"/>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Edificios y Construcciones</w:t>
            </w:r>
          </w:p>
        </w:tc>
        <w:tc>
          <w:tcPr>
            <w:tcW w:w="1924"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350.486,00</w:t>
            </w:r>
          </w:p>
        </w:tc>
        <w:tc>
          <w:tcPr>
            <w:tcW w:w="1143"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214.034,77</w:t>
            </w:r>
          </w:p>
        </w:tc>
        <w:tc>
          <w:tcPr>
            <w:tcW w:w="1335"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-136.451,23</w:t>
            </w:r>
          </w:p>
        </w:tc>
        <w:tc>
          <w:tcPr>
            <w:tcW w:w="1236"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-38,93</w:t>
            </w:r>
          </w:p>
        </w:tc>
      </w:tr>
      <w:tr w:rsidR="006D5EB6" w:rsidRPr="00E15C4D" w:rsidTr="006D5EB6">
        <w:trPr>
          <w:trHeight w:val="307"/>
        </w:trPr>
        <w:tc>
          <w:tcPr>
            <w:tcW w:w="4536" w:type="dxa"/>
            <w:gridSpan w:val="3"/>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Muebles y Equipos</w:t>
            </w:r>
          </w:p>
        </w:tc>
        <w:tc>
          <w:tcPr>
            <w:tcW w:w="1924"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30.999,77</w:t>
            </w:r>
          </w:p>
        </w:tc>
        <w:tc>
          <w:tcPr>
            <w:tcW w:w="1143"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33.178,77</w:t>
            </w:r>
          </w:p>
        </w:tc>
        <w:tc>
          <w:tcPr>
            <w:tcW w:w="1335"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2.179,00</w:t>
            </w:r>
          </w:p>
        </w:tc>
        <w:tc>
          <w:tcPr>
            <w:tcW w:w="1236"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7,03</w:t>
            </w:r>
          </w:p>
        </w:tc>
      </w:tr>
      <w:tr w:rsidR="006D5EB6" w:rsidRPr="00E15C4D" w:rsidTr="006D5EB6">
        <w:trPr>
          <w:trHeight w:val="307"/>
        </w:trPr>
        <w:tc>
          <w:tcPr>
            <w:tcW w:w="4536" w:type="dxa"/>
            <w:gridSpan w:val="3"/>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Equipo de Computo</w:t>
            </w:r>
          </w:p>
        </w:tc>
        <w:tc>
          <w:tcPr>
            <w:tcW w:w="1924"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3.810,00</w:t>
            </w:r>
          </w:p>
        </w:tc>
        <w:tc>
          <w:tcPr>
            <w:tcW w:w="1143"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4.508,00</w:t>
            </w:r>
          </w:p>
        </w:tc>
        <w:tc>
          <w:tcPr>
            <w:tcW w:w="1335"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698,00</w:t>
            </w:r>
          </w:p>
        </w:tc>
        <w:tc>
          <w:tcPr>
            <w:tcW w:w="1236"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18,32</w:t>
            </w:r>
          </w:p>
        </w:tc>
      </w:tr>
      <w:tr w:rsidR="006D5EB6" w:rsidRPr="00E15C4D" w:rsidTr="006D5EB6">
        <w:trPr>
          <w:trHeight w:val="307"/>
        </w:trPr>
        <w:tc>
          <w:tcPr>
            <w:tcW w:w="4536" w:type="dxa"/>
            <w:gridSpan w:val="3"/>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Depreciación Acum. Muebles y Equipo</w:t>
            </w:r>
          </w:p>
        </w:tc>
        <w:tc>
          <w:tcPr>
            <w:tcW w:w="1924"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-3.355,80</w:t>
            </w:r>
          </w:p>
        </w:tc>
        <w:tc>
          <w:tcPr>
            <w:tcW w:w="1143"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-3.317,88</w:t>
            </w:r>
          </w:p>
        </w:tc>
        <w:tc>
          <w:tcPr>
            <w:tcW w:w="1335"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37,92</w:t>
            </w:r>
          </w:p>
        </w:tc>
        <w:tc>
          <w:tcPr>
            <w:tcW w:w="1236"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-1,13</w:t>
            </w:r>
          </w:p>
        </w:tc>
      </w:tr>
      <w:tr w:rsidR="006D5EB6" w:rsidRPr="00E15C4D" w:rsidTr="006D5EB6">
        <w:trPr>
          <w:trHeight w:val="307"/>
        </w:trPr>
        <w:tc>
          <w:tcPr>
            <w:tcW w:w="4536" w:type="dxa"/>
            <w:gridSpan w:val="3"/>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Depreciación Acum. Equipo de Computo</w:t>
            </w:r>
          </w:p>
        </w:tc>
        <w:tc>
          <w:tcPr>
            <w:tcW w:w="1924"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-1.148,98</w:t>
            </w:r>
          </w:p>
        </w:tc>
        <w:tc>
          <w:tcPr>
            <w:tcW w:w="1143"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-1.502,52</w:t>
            </w:r>
          </w:p>
        </w:tc>
        <w:tc>
          <w:tcPr>
            <w:tcW w:w="1335"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-353,54</w:t>
            </w:r>
          </w:p>
        </w:tc>
        <w:tc>
          <w:tcPr>
            <w:tcW w:w="1236"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30,77</w:t>
            </w:r>
          </w:p>
        </w:tc>
      </w:tr>
      <w:tr w:rsidR="006D5EB6" w:rsidRPr="00E15C4D" w:rsidTr="006D5EB6">
        <w:trPr>
          <w:trHeight w:val="307"/>
        </w:trPr>
        <w:tc>
          <w:tcPr>
            <w:tcW w:w="4536" w:type="dxa"/>
            <w:gridSpan w:val="3"/>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Depreciación Acum. Edificios y Construcciones</w:t>
            </w:r>
          </w:p>
        </w:tc>
        <w:tc>
          <w:tcPr>
            <w:tcW w:w="1924"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-10.162,94</w:t>
            </w:r>
          </w:p>
        </w:tc>
        <w:tc>
          <w:tcPr>
            <w:tcW w:w="1143"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-9.992,67</w:t>
            </w:r>
          </w:p>
        </w:tc>
        <w:tc>
          <w:tcPr>
            <w:tcW w:w="1335"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170,27</w:t>
            </w:r>
          </w:p>
        </w:tc>
        <w:tc>
          <w:tcPr>
            <w:tcW w:w="1236"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-1,68</w:t>
            </w:r>
          </w:p>
        </w:tc>
      </w:tr>
      <w:tr w:rsidR="006D5EB6" w:rsidRPr="00E15C4D" w:rsidTr="006D5EB6">
        <w:trPr>
          <w:trHeight w:val="307"/>
        </w:trPr>
        <w:tc>
          <w:tcPr>
            <w:tcW w:w="4536" w:type="dxa"/>
            <w:gridSpan w:val="3"/>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lastRenderedPageBreak/>
              <w:t>DIFERIDOS</w:t>
            </w:r>
          </w:p>
        </w:tc>
        <w:tc>
          <w:tcPr>
            <w:tcW w:w="1924"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143"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335"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9966FF"/>
                <w:lang w:eastAsia="es-EC"/>
              </w:rPr>
            </w:pPr>
            <w:r w:rsidRPr="00E15C4D">
              <w:rPr>
                <w:rFonts w:ascii="Calibri" w:eastAsia="Times New Roman" w:hAnsi="Calibri" w:cs="Calibri"/>
                <w:color w:val="9966FF"/>
                <w:lang w:eastAsia="es-EC"/>
              </w:rPr>
              <w:t> </w:t>
            </w:r>
          </w:p>
        </w:tc>
        <w:tc>
          <w:tcPr>
            <w:tcW w:w="1236"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9966FF"/>
                <w:lang w:eastAsia="es-EC"/>
              </w:rPr>
            </w:pPr>
            <w:r w:rsidRPr="00E15C4D">
              <w:rPr>
                <w:rFonts w:ascii="Calibri" w:eastAsia="Times New Roman" w:hAnsi="Calibri" w:cs="Calibri"/>
                <w:color w:val="9966FF"/>
                <w:lang w:eastAsia="es-EC"/>
              </w:rPr>
              <w:t> </w:t>
            </w:r>
          </w:p>
        </w:tc>
      </w:tr>
      <w:tr w:rsidR="006D5EB6" w:rsidRPr="00E15C4D" w:rsidTr="006D5EB6">
        <w:trPr>
          <w:trHeight w:val="307"/>
        </w:trPr>
        <w:tc>
          <w:tcPr>
            <w:tcW w:w="4536" w:type="dxa"/>
            <w:gridSpan w:val="3"/>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Cargos Diferidos</w:t>
            </w:r>
          </w:p>
        </w:tc>
        <w:tc>
          <w:tcPr>
            <w:tcW w:w="1924"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6.000,00</w:t>
            </w:r>
          </w:p>
        </w:tc>
        <w:tc>
          <w:tcPr>
            <w:tcW w:w="1143"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6.000,00</w:t>
            </w:r>
          </w:p>
        </w:tc>
        <w:tc>
          <w:tcPr>
            <w:tcW w:w="1335"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0,00</w:t>
            </w:r>
          </w:p>
        </w:tc>
        <w:tc>
          <w:tcPr>
            <w:tcW w:w="1236"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0,00</w:t>
            </w:r>
          </w:p>
        </w:tc>
      </w:tr>
      <w:tr w:rsidR="006D5EB6" w:rsidRPr="00E15C4D" w:rsidTr="006D5EB6">
        <w:trPr>
          <w:trHeight w:val="307"/>
        </w:trPr>
        <w:tc>
          <w:tcPr>
            <w:tcW w:w="4536" w:type="dxa"/>
            <w:gridSpan w:val="3"/>
            <w:shd w:val="clear" w:color="auto" w:fill="auto"/>
            <w:noWrap/>
            <w:vAlign w:val="bottom"/>
            <w:hideMark/>
          </w:tcPr>
          <w:p w:rsidR="006D5EB6" w:rsidRPr="00E15C4D" w:rsidRDefault="006D5EB6" w:rsidP="006D5EB6">
            <w:pPr>
              <w:spacing w:after="0" w:line="240" w:lineRule="auto"/>
              <w:rPr>
                <w:rFonts w:ascii="Calibri" w:eastAsia="Times New Roman" w:hAnsi="Calibri" w:cs="Calibri"/>
                <w:b/>
                <w:bCs/>
                <w:color w:val="8064A2"/>
                <w:lang w:eastAsia="es-EC"/>
              </w:rPr>
            </w:pPr>
            <w:r w:rsidRPr="00E15C4D">
              <w:rPr>
                <w:rFonts w:ascii="Calibri" w:eastAsia="Times New Roman" w:hAnsi="Calibri" w:cs="Calibri"/>
                <w:b/>
                <w:bCs/>
                <w:color w:val="8064A2"/>
                <w:lang w:eastAsia="es-EC"/>
              </w:rPr>
              <w:t>OTROS ACTIVOS</w:t>
            </w:r>
          </w:p>
        </w:tc>
        <w:tc>
          <w:tcPr>
            <w:tcW w:w="1924"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143"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335"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9966FF"/>
                <w:lang w:eastAsia="es-EC"/>
              </w:rPr>
            </w:pPr>
            <w:r w:rsidRPr="00E15C4D">
              <w:rPr>
                <w:rFonts w:ascii="Calibri" w:eastAsia="Times New Roman" w:hAnsi="Calibri" w:cs="Calibri"/>
                <w:color w:val="9966FF"/>
                <w:lang w:eastAsia="es-EC"/>
              </w:rPr>
              <w:t> </w:t>
            </w:r>
          </w:p>
        </w:tc>
        <w:tc>
          <w:tcPr>
            <w:tcW w:w="1236"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9966FF"/>
                <w:lang w:eastAsia="es-EC"/>
              </w:rPr>
            </w:pPr>
            <w:r w:rsidRPr="00E15C4D">
              <w:rPr>
                <w:rFonts w:ascii="Calibri" w:eastAsia="Times New Roman" w:hAnsi="Calibri" w:cs="Calibri"/>
                <w:color w:val="9966FF"/>
                <w:lang w:eastAsia="es-EC"/>
              </w:rPr>
              <w:t> </w:t>
            </w:r>
          </w:p>
        </w:tc>
      </w:tr>
      <w:tr w:rsidR="006D5EB6" w:rsidRPr="00E15C4D" w:rsidTr="006D5EB6">
        <w:trPr>
          <w:trHeight w:val="307"/>
        </w:trPr>
        <w:tc>
          <w:tcPr>
            <w:tcW w:w="4536" w:type="dxa"/>
            <w:gridSpan w:val="3"/>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Garantías Contratos</w:t>
            </w:r>
          </w:p>
        </w:tc>
        <w:tc>
          <w:tcPr>
            <w:tcW w:w="1924"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284,56</w:t>
            </w:r>
          </w:p>
        </w:tc>
        <w:tc>
          <w:tcPr>
            <w:tcW w:w="1143"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284,56</w:t>
            </w:r>
          </w:p>
        </w:tc>
        <w:tc>
          <w:tcPr>
            <w:tcW w:w="1335"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0,00</w:t>
            </w:r>
          </w:p>
        </w:tc>
        <w:tc>
          <w:tcPr>
            <w:tcW w:w="1236"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0</w:t>
            </w:r>
          </w:p>
        </w:tc>
      </w:tr>
      <w:tr w:rsidR="006D5EB6" w:rsidRPr="00E15C4D" w:rsidTr="006D5EB6">
        <w:trPr>
          <w:trHeight w:val="307"/>
        </w:trPr>
        <w:tc>
          <w:tcPr>
            <w:tcW w:w="4536" w:type="dxa"/>
            <w:gridSpan w:val="3"/>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Cofres Mortuorios</w:t>
            </w:r>
          </w:p>
        </w:tc>
        <w:tc>
          <w:tcPr>
            <w:tcW w:w="1924"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360,00</w:t>
            </w:r>
          </w:p>
        </w:tc>
        <w:tc>
          <w:tcPr>
            <w:tcW w:w="1143"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360</w:t>
            </w:r>
          </w:p>
        </w:tc>
        <w:tc>
          <w:tcPr>
            <w:tcW w:w="1335"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0,00</w:t>
            </w:r>
          </w:p>
        </w:tc>
        <w:tc>
          <w:tcPr>
            <w:tcW w:w="1236"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0</w:t>
            </w:r>
          </w:p>
        </w:tc>
      </w:tr>
      <w:tr w:rsidR="006D5EB6" w:rsidRPr="00E15C4D" w:rsidTr="006D5EB6">
        <w:trPr>
          <w:trHeight w:val="307"/>
        </w:trPr>
        <w:tc>
          <w:tcPr>
            <w:tcW w:w="4536" w:type="dxa"/>
            <w:gridSpan w:val="3"/>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REVALORIZACIONES</w:t>
            </w:r>
          </w:p>
        </w:tc>
        <w:tc>
          <w:tcPr>
            <w:tcW w:w="1924"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143"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335"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9966FF"/>
                <w:lang w:eastAsia="es-EC"/>
              </w:rPr>
            </w:pPr>
            <w:r w:rsidRPr="00E15C4D">
              <w:rPr>
                <w:rFonts w:ascii="Calibri" w:eastAsia="Times New Roman" w:hAnsi="Calibri" w:cs="Calibri"/>
                <w:color w:val="9966FF"/>
                <w:lang w:eastAsia="es-EC"/>
              </w:rPr>
              <w:t> </w:t>
            </w:r>
          </w:p>
        </w:tc>
        <w:tc>
          <w:tcPr>
            <w:tcW w:w="1236"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9966FF"/>
                <w:lang w:eastAsia="es-EC"/>
              </w:rPr>
            </w:pPr>
            <w:r w:rsidRPr="00E15C4D">
              <w:rPr>
                <w:rFonts w:ascii="Calibri" w:eastAsia="Times New Roman" w:hAnsi="Calibri" w:cs="Calibri"/>
                <w:color w:val="9966FF"/>
                <w:lang w:eastAsia="es-EC"/>
              </w:rPr>
              <w:t> </w:t>
            </w:r>
          </w:p>
        </w:tc>
      </w:tr>
      <w:tr w:rsidR="006D5EB6" w:rsidRPr="00E15C4D" w:rsidTr="006D5EB6">
        <w:trPr>
          <w:trHeight w:val="307"/>
        </w:trPr>
        <w:tc>
          <w:tcPr>
            <w:tcW w:w="4536" w:type="dxa"/>
            <w:gridSpan w:val="3"/>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Revalorización Certificados de Aportación</w:t>
            </w:r>
          </w:p>
        </w:tc>
        <w:tc>
          <w:tcPr>
            <w:tcW w:w="1924"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210.362,50</w:t>
            </w:r>
          </w:p>
        </w:tc>
        <w:tc>
          <w:tcPr>
            <w:tcW w:w="1143"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335"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-210.362,50</w:t>
            </w:r>
          </w:p>
        </w:tc>
        <w:tc>
          <w:tcPr>
            <w:tcW w:w="1236"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-100</w:t>
            </w:r>
          </w:p>
        </w:tc>
      </w:tr>
      <w:tr w:rsidR="006D5EB6" w:rsidRPr="00E15C4D" w:rsidTr="006D5EB6">
        <w:trPr>
          <w:trHeight w:val="307"/>
        </w:trPr>
        <w:tc>
          <w:tcPr>
            <w:tcW w:w="4536" w:type="dxa"/>
            <w:gridSpan w:val="3"/>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924"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143"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335"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236"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r>
      <w:tr w:rsidR="006D5EB6" w:rsidRPr="00E15C4D" w:rsidTr="006D5EB6">
        <w:trPr>
          <w:trHeight w:val="307"/>
        </w:trPr>
        <w:tc>
          <w:tcPr>
            <w:tcW w:w="4536" w:type="dxa"/>
            <w:gridSpan w:val="3"/>
            <w:shd w:val="clear" w:color="auto" w:fill="auto"/>
            <w:noWrap/>
            <w:vAlign w:val="bottom"/>
            <w:hideMark/>
          </w:tcPr>
          <w:p w:rsidR="006D5EB6" w:rsidRPr="00E15C4D" w:rsidRDefault="006D5EB6" w:rsidP="006D5EB6">
            <w:pPr>
              <w:spacing w:after="0" w:line="240" w:lineRule="auto"/>
              <w:rPr>
                <w:rFonts w:ascii="Calibri" w:eastAsia="Times New Roman" w:hAnsi="Calibri" w:cs="Calibri"/>
                <w:b/>
                <w:bCs/>
                <w:color w:val="000000"/>
                <w:lang w:eastAsia="es-EC"/>
              </w:rPr>
            </w:pPr>
            <w:r w:rsidRPr="00E15C4D">
              <w:rPr>
                <w:rFonts w:ascii="Calibri" w:eastAsia="Times New Roman" w:hAnsi="Calibri" w:cs="Calibri"/>
                <w:b/>
                <w:bCs/>
                <w:color w:val="000000"/>
                <w:lang w:eastAsia="es-EC"/>
              </w:rPr>
              <w:t>TOTAL ACTIVOS</w:t>
            </w:r>
          </w:p>
        </w:tc>
        <w:tc>
          <w:tcPr>
            <w:tcW w:w="1924"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937442,03</w:t>
            </w:r>
          </w:p>
        </w:tc>
        <w:tc>
          <w:tcPr>
            <w:tcW w:w="1143"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470738,11</w:t>
            </w:r>
          </w:p>
        </w:tc>
        <w:tc>
          <w:tcPr>
            <w:tcW w:w="1335"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236"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r>
    </w:tbl>
    <w:p w:rsidR="006D5EB6" w:rsidRDefault="006D5EB6" w:rsidP="006D5EB6">
      <w:pPr>
        <w:spacing w:after="0" w:line="240" w:lineRule="auto"/>
        <w:rPr>
          <w:rFonts w:ascii="Calibri" w:eastAsia="Times New Roman" w:hAnsi="Calibri" w:cs="Calibri"/>
          <w:b/>
          <w:bCs/>
          <w:color w:val="4F81BD"/>
          <w:lang w:eastAsia="es-EC"/>
        </w:rPr>
      </w:pPr>
    </w:p>
    <w:p w:rsidR="006D5EB6" w:rsidRDefault="006D5EB6" w:rsidP="006D5EB6">
      <w:pPr>
        <w:spacing w:after="0" w:line="240" w:lineRule="auto"/>
        <w:jc w:val="center"/>
        <w:rPr>
          <w:rFonts w:ascii="Calibri" w:eastAsia="Times New Roman" w:hAnsi="Calibri" w:cs="Calibri"/>
          <w:b/>
          <w:bCs/>
          <w:color w:val="4F81BD"/>
          <w:lang w:eastAsia="es-EC"/>
        </w:rPr>
      </w:pPr>
    </w:p>
    <w:tbl>
      <w:tblPr>
        <w:tblW w:w="10219" w:type="dxa"/>
        <w:tblInd w:w="65" w:type="dxa"/>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CellMar>
          <w:left w:w="70" w:type="dxa"/>
          <w:right w:w="70" w:type="dxa"/>
        </w:tblCellMar>
        <w:tblLook w:val="04A0"/>
      </w:tblPr>
      <w:tblGrid>
        <w:gridCol w:w="4568"/>
        <w:gridCol w:w="1229"/>
        <w:gridCol w:w="1209"/>
        <w:gridCol w:w="1637"/>
        <w:gridCol w:w="1576"/>
      </w:tblGrid>
      <w:tr w:rsidR="006D5EB6" w:rsidRPr="00E15C4D" w:rsidTr="006D5EB6">
        <w:trPr>
          <w:trHeight w:val="304"/>
        </w:trPr>
        <w:tc>
          <w:tcPr>
            <w:tcW w:w="4568"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b/>
                <w:bCs/>
                <w:color w:val="000000"/>
                <w:lang w:eastAsia="es-EC"/>
              </w:rPr>
            </w:pPr>
            <w:r w:rsidRPr="00E15C4D">
              <w:rPr>
                <w:rFonts w:ascii="Calibri" w:eastAsia="Times New Roman" w:hAnsi="Calibri" w:cs="Calibri"/>
                <w:b/>
                <w:bCs/>
                <w:color w:val="000000"/>
                <w:lang w:eastAsia="es-EC"/>
              </w:rPr>
              <w:t>PASIVOS</w:t>
            </w:r>
          </w:p>
        </w:tc>
        <w:tc>
          <w:tcPr>
            <w:tcW w:w="1229"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209"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637"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576"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r>
      <w:tr w:rsidR="006D5EB6" w:rsidRPr="00E15C4D" w:rsidTr="006D5EB6">
        <w:trPr>
          <w:trHeight w:val="304"/>
        </w:trPr>
        <w:tc>
          <w:tcPr>
            <w:tcW w:w="4568"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Cuentas por Pagar</w:t>
            </w:r>
          </w:p>
        </w:tc>
        <w:tc>
          <w:tcPr>
            <w:tcW w:w="1229"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209"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6.108,30</w:t>
            </w:r>
          </w:p>
        </w:tc>
        <w:tc>
          <w:tcPr>
            <w:tcW w:w="1637"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6.108,30</w:t>
            </w:r>
          </w:p>
        </w:tc>
        <w:tc>
          <w:tcPr>
            <w:tcW w:w="1576"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9966FF"/>
                <w:lang w:eastAsia="es-EC"/>
              </w:rPr>
            </w:pPr>
            <w:r w:rsidRPr="00E15C4D">
              <w:rPr>
                <w:rFonts w:ascii="Calibri" w:eastAsia="Times New Roman" w:hAnsi="Calibri" w:cs="Calibri"/>
                <w:color w:val="9966FF"/>
                <w:lang w:eastAsia="es-EC"/>
              </w:rPr>
              <w:t> </w:t>
            </w:r>
          </w:p>
        </w:tc>
      </w:tr>
      <w:tr w:rsidR="006D5EB6" w:rsidRPr="00E15C4D" w:rsidTr="006D5EB6">
        <w:trPr>
          <w:trHeight w:val="304"/>
        </w:trPr>
        <w:tc>
          <w:tcPr>
            <w:tcW w:w="4568"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229"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209"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637"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9966FF"/>
                <w:lang w:eastAsia="es-EC"/>
              </w:rPr>
            </w:pPr>
            <w:r w:rsidRPr="00E15C4D">
              <w:rPr>
                <w:rFonts w:ascii="Calibri" w:eastAsia="Times New Roman" w:hAnsi="Calibri" w:cs="Calibri"/>
                <w:color w:val="9966FF"/>
                <w:lang w:eastAsia="es-EC"/>
              </w:rPr>
              <w:t> </w:t>
            </w:r>
          </w:p>
        </w:tc>
        <w:tc>
          <w:tcPr>
            <w:tcW w:w="1576"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9966FF"/>
                <w:lang w:eastAsia="es-EC"/>
              </w:rPr>
            </w:pPr>
            <w:r>
              <w:rPr>
                <w:rFonts w:ascii="Calibri" w:eastAsia="Times New Roman" w:hAnsi="Calibri" w:cs="Calibri"/>
                <w:noProof/>
                <w:color w:val="9966FF"/>
                <w:lang w:eastAsia="es-EC"/>
              </w:rPr>
              <w:pict>
                <v:shape id="_x0000_s1029" type="#_x0000_t63" style="position:absolute;margin-left:85.6pt;margin-top:2.9pt;width:103.05pt;height:62.15pt;z-index:251666432;mso-position-horizontal-relative:text;mso-position-vertical-relative:text" adj="84,25701" fillcolor="white [3201]" strokecolor="#0bd0d9 [3206]" strokeweight="2.5pt">
                  <v:shadow color="#868686"/>
                  <v:textbox>
                    <w:txbxContent>
                      <w:p w:rsidR="006D5EB6" w:rsidRDefault="006D5EB6" w:rsidP="006D5EB6">
                        <w:r>
                          <w:t>ESTRUCTURA FINANCIERA</w:t>
                        </w:r>
                      </w:p>
                    </w:txbxContent>
                  </v:textbox>
                </v:shape>
              </w:pict>
            </w:r>
            <w:r w:rsidRPr="00E15C4D">
              <w:rPr>
                <w:rFonts w:ascii="Calibri" w:eastAsia="Times New Roman" w:hAnsi="Calibri" w:cs="Calibri"/>
                <w:color w:val="9966FF"/>
                <w:lang w:eastAsia="es-EC"/>
              </w:rPr>
              <w:t> </w:t>
            </w:r>
          </w:p>
        </w:tc>
      </w:tr>
      <w:tr w:rsidR="006D5EB6" w:rsidRPr="00E15C4D" w:rsidTr="006D5EB6">
        <w:trPr>
          <w:trHeight w:val="304"/>
        </w:trPr>
        <w:tc>
          <w:tcPr>
            <w:tcW w:w="4568"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b/>
                <w:bCs/>
                <w:color w:val="000000"/>
                <w:lang w:eastAsia="es-EC"/>
              </w:rPr>
            </w:pPr>
            <w:r w:rsidRPr="00E15C4D">
              <w:rPr>
                <w:rFonts w:ascii="Calibri" w:eastAsia="Times New Roman" w:hAnsi="Calibri" w:cs="Calibri"/>
                <w:b/>
                <w:bCs/>
                <w:color w:val="000000"/>
                <w:lang w:eastAsia="es-EC"/>
              </w:rPr>
              <w:t>TOTAL PASIVOS</w:t>
            </w:r>
          </w:p>
        </w:tc>
        <w:tc>
          <w:tcPr>
            <w:tcW w:w="1229"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209"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6.108,30</w:t>
            </w:r>
          </w:p>
        </w:tc>
        <w:tc>
          <w:tcPr>
            <w:tcW w:w="1637"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9966FF"/>
                <w:lang w:eastAsia="es-EC"/>
              </w:rPr>
            </w:pPr>
            <w:r w:rsidRPr="00E15C4D">
              <w:rPr>
                <w:rFonts w:ascii="Calibri" w:eastAsia="Times New Roman" w:hAnsi="Calibri" w:cs="Calibri"/>
                <w:color w:val="9966FF"/>
                <w:lang w:eastAsia="es-EC"/>
              </w:rPr>
              <w:t> </w:t>
            </w:r>
          </w:p>
        </w:tc>
        <w:tc>
          <w:tcPr>
            <w:tcW w:w="1576"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9966FF"/>
                <w:lang w:eastAsia="es-EC"/>
              </w:rPr>
            </w:pPr>
            <w:r w:rsidRPr="00E15C4D">
              <w:rPr>
                <w:rFonts w:ascii="Calibri" w:eastAsia="Times New Roman" w:hAnsi="Calibri" w:cs="Calibri"/>
                <w:color w:val="9966FF"/>
                <w:lang w:eastAsia="es-EC"/>
              </w:rPr>
              <w:t> </w:t>
            </w:r>
          </w:p>
        </w:tc>
      </w:tr>
      <w:tr w:rsidR="006D5EB6" w:rsidRPr="00E15C4D" w:rsidTr="006D5EB6">
        <w:trPr>
          <w:trHeight w:val="304"/>
        </w:trPr>
        <w:tc>
          <w:tcPr>
            <w:tcW w:w="4568"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229"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209"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637"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9966FF"/>
                <w:lang w:eastAsia="es-EC"/>
              </w:rPr>
            </w:pPr>
            <w:r w:rsidRPr="00E15C4D">
              <w:rPr>
                <w:rFonts w:ascii="Calibri" w:eastAsia="Times New Roman" w:hAnsi="Calibri" w:cs="Calibri"/>
                <w:color w:val="9966FF"/>
                <w:lang w:eastAsia="es-EC"/>
              </w:rPr>
              <w:t> </w:t>
            </w:r>
          </w:p>
        </w:tc>
        <w:tc>
          <w:tcPr>
            <w:tcW w:w="1576"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9966FF"/>
                <w:lang w:eastAsia="es-EC"/>
              </w:rPr>
            </w:pPr>
            <w:r w:rsidRPr="00E15C4D">
              <w:rPr>
                <w:rFonts w:ascii="Calibri" w:eastAsia="Times New Roman" w:hAnsi="Calibri" w:cs="Calibri"/>
                <w:color w:val="9966FF"/>
                <w:lang w:eastAsia="es-EC"/>
              </w:rPr>
              <w:t> </w:t>
            </w:r>
          </w:p>
        </w:tc>
      </w:tr>
      <w:tr w:rsidR="006D5EB6" w:rsidRPr="00E15C4D" w:rsidTr="006D5EB6">
        <w:trPr>
          <w:trHeight w:val="304"/>
        </w:trPr>
        <w:tc>
          <w:tcPr>
            <w:tcW w:w="4568"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b/>
                <w:bCs/>
                <w:color w:val="000000"/>
                <w:lang w:eastAsia="es-EC"/>
              </w:rPr>
            </w:pPr>
            <w:r w:rsidRPr="00E15C4D">
              <w:rPr>
                <w:rFonts w:ascii="Calibri" w:eastAsia="Times New Roman" w:hAnsi="Calibri" w:cs="Calibri"/>
                <w:b/>
                <w:bCs/>
                <w:color w:val="000000"/>
                <w:lang w:eastAsia="es-EC"/>
              </w:rPr>
              <w:t>PATRIMONIO</w:t>
            </w:r>
          </w:p>
        </w:tc>
        <w:tc>
          <w:tcPr>
            <w:tcW w:w="1229"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209"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637"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9966FF"/>
                <w:lang w:eastAsia="es-EC"/>
              </w:rPr>
            </w:pPr>
            <w:r w:rsidRPr="00E15C4D">
              <w:rPr>
                <w:rFonts w:ascii="Calibri" w:eastAsia="Times New Roman" w:hAnsi="Calibri" w:cs="Calibri"/>
                <w:color w:val="9966FF"/>
                <w:lang w:eastAsia="es-EC"/>
              </w:rPr>
              <w:t> </w:t>
            </w:r>
          </w:p>
        </w:tc>
        <w:tc>
          <w:tcPr>
            <w:tcW w:w="1576"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9966FF"/>
                <w:lang w:eastAsia="es-EC"/>
              </w:rPr>
            </w:pPr>
            <w:r w:rsidRPr="00E15C4D">
              <w:rPr>
                <w:rFonts w:ascii="Calibri" w:eastAsia="Times New Roman" w:hAnsi="Calibri" w:cs="Calibri"/>
                <w:color w:val="9966FF"/>
                <w:lang w:eastAsia="es-EC"/>
              </w:rPr>
              <w:t> </w:t>
            </w:r>
          </w:p>
        </w:tc>
      </w:tr>
      <w:tr w:rsidR="006D5EB6" w:rsidRPr="00E15C4D" w:rsidTr="006D5EB6">
        <w:trPr>
          <w:trHeight w:val="304"/>
        </w:trPr>
        <w:tc>
          <w:tcPr>
            <w:tcW w:w="4568"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Capital Social</w:t>
            </w:r>
          </w:p>
        </w:tc>
        <w:tc>
          <w:tcPr>
            <w:tcW w:w="1229"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292.278,17</w:t>
            </w:r>
          </w:p>
        </w:tc>
        <w:tc>
          <w:tcPr>
            <w:tcW w:w="1209"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421.979,91</w:t>
            </w:r>
          </w:p>
        </w:tc>
        <w:tc>
          <w:tcPr>
            <w:tcW w:w="1637"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129.701,74</w:t>
            </w:r>
          </w:p>
        </w:tc>
        <w:tc>
          <w:tcPr>
            <w:tcW w:w="1576"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44,38</w:t>
            </w:r>
          </w:p>
        </w:tc>
      </w:tr>
      <w:tr w:rsidR="006D5EB6" w:rsidRPr="00E15C4D" w:rsidTr="006D5EB6">
        <w:trPr>
          <w:trHeight w:val="304"/>
        </w:trPr>
        <w:tc>
          <w:tcPr>
            <w:tcW w:w="4568"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Reservas Legales</w:t>
            </w:r>
          </w:p>
        </w:tc>
        <w:tc>
          <w:tcPr>
            <w:tcW w:w="1229"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1.884,40</w:t>
            </w:r>
          </w:p>
        </w:tc>
        <w:tc>
          <w:tcPr>
            <w:tcW w:w="1209"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2.877,35</w:t>
            </w:r>
          </w:p>
        </w:tc>
        <w:tc>
          <w:tcPr>
            <w:tcW w:w="1637"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992,95</w:t>
            </w:r>
          </w:p>
        </w:tc>
        <w:tc>
          <w:tcPr>
            <w:tcW w:w="1576"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52,69</w:t>
            </w:r>
          </w:p>
        </w:tc>
      </w:tr>
      <w:tr w:rsidR="006D5EB6" w:rsidRPr="00E15C4D" w:rsidTr="006D5EB6">
        <w:trPr>
          <w:trHeight w:val="304"/>
        </w:trPr>
        <w:tc>
          <w:tcPr>
            <w:tcW w:w="4568"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Reservas Facultativas</w:t>
            </w:r>
          </w:p>
        </w:tc>
        <w:tc>
          <w:tcPr>
            <w:tcW w:w="1229"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184.662,12</w:t>
            </w:r>
          </w:p>
        </w:tc>
        <w:tc>
          <w:tcPr>
            <w:tcW w:w="1209"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637"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-184.662,12</w:t>
            </w:r>
          </w:p>
        </w:tc>
        <w:tc>
          <w:tcPr>
            <w:tcW w:w="1576"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-100</w:t>
            </w:r>
          </w:p>
        </w:tc>
      </w:tr>
      <w:tr w:rsidR="006D5EB6" w:rsidRPr="00E15C4D" w:rsidTr="006D5EB6">
        <w:trPr>
          <w:trHeight w:val="304"/>
        </w:trPr>
        <w:tc>
          <w:tcPr>
            <w:tcW w:w="4568"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Revalúo de Activos Fijos</w:t>
            </w:r>
          </w:p>
        </w:tc>
        <w:tc>
          <w:tcPr>
            <w:tcW w:w="1229"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431.730,75</w:t>
            </w:r>
          </w:p>
        </w:tc>
        <w:tc>
          <w:tcPr>
            <w:tcW w:w="1209"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637"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-431.730,75</w:t>
            </w:r>
          </w:p>
        </w:tc>
        <w:tc>
          <w:tcPr>
            <w:tcW w:w="1576"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-100</w:t>
            </w:r>
          </w:p>
        </w:tc>
      </w:tr>
      <w:tr w:rsidR="006D5EB6" w:rsidRPr="00E15C4D" w:rsidTr="006D5EB6">
        <w:trPr>
          <w:trHeight w:val="304"/>
        </w:trPr>
        <w:tc>
          <w:tcPr>
            <w:tcW w:w="4568"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Utilidad del Ejercicio</w:t>
            </w:r>
          </w:p>
        </w:tc>
        <w:tc>
          <w:tcPr>
            <w:tcW w:w="1229"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26.886,59</w:t>
            </w:r>
          </w:p>
        </w:tc>
        <w:tc>
          <w:tcPr>
            <w:tcW w:w="1209"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39.772,55</w:t>
            </w:r>
          </w:p>
        </w:tc>
        <w:tc>
          <w:tcPr>
            <w:tcW w:w="1637"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12.885,96</w:t>
            </w:r>
          </w:p>
        </w:tc>
        <w:tc>
          <w:tcPr>
            <w:tcW w:w="1576"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9966FF"/>
                <w:lang w:eastAsia="es-EC"/>
              </w:rPr>
            </w:pPr>
            <w:r w:rsidRPr="00E15C4D">
              <w:rPr>
                <w:rFonts w:ascii="Calibri" w:eastAsia="Times New Roman" w:hAnsi="Calibri" w:cs="Calibri"/>
                <w:color w:val="9966FF"/>
                <w:lang w:eastAsia="es-EC"/>
              </w:rPr>
              <w:t>47,93</w:t>
            </w:r>
          </w:p>
        </w:tc>
      </w:tr>
      <w:tr w:rsidR="006D5EB6" w:rsidRPr="00E15C4D" w:rsidTr="006D5EB6">
        <w:trPr>
          <w:trHeight w:val="304"/>
        </w:trPr>
        <w:tc>
          <w:tcPr>
            <w:tcW w:w="4568"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229"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209"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637"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576"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r>
      <w:tr w:rsidR="006D5EB6" w:rsidRPr="00E15C4D" w:rsidTr="006D5EB6">
        <w:trPr>
          <w:trHeight w:val="304"/>
        </w:trPr>
        <w:tc>
          <w:tcPr>
            <w:tcW w:w="4568"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b/>
                <w:bCs/>
                <w:color w:val="000000"/>
                <w:lang w:eastAsia="es-EC"/>
              </w:rPr>
            </w:pPr>
            <w:r w:rsidRPr="00E15C4D">
              <w:rPr>
                <w:rFonts w:ascii="Calibri" w:eastAsia="Times New Roman" w:hAnsi="Calibri" w:cs="Calibri"/>
                <w:b/>
                <w:bCs/>
                <w:color w:val="000000"/>
                <w:lang w:eastAsia="es-EC"/>
              </w:rPr>
              <w:t>TOTAL PATRIMONIO</w:t>
            </w:r>
          </w:p>
        </w:tc>
        <w:tc>
          <w:tcPr>
            <w:tcW w:w="1229"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937.442,03</w:t>
            </w:r>
          </w:p>
        </w:tc>
        <w:tc>
          <w:tcPr>
            <w:tcW w:w="1209"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464.629,81</w:t>
            </w:r>
          </w:p>
        </w:tc>
        <w:tc>
          <w:tcPr>
            <w:tcW w:w="1637"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576"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r>
      <w:tr w:rsidR="006D5EB6" w:rsidRPr="00E15C4D" w:rsidTr="006D5EB6">
        <w:trPr>
          <w:trHeight w:val="304"/>
        </w:trPr>
        <w:tc>
          <w:tcPr>
            <w:tcW w:w="4568"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229"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209"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637"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576"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r>
      <w:tr w:rsidR="006D5EB6" w:rsidRPr="00E15C4D" w:rsidTr="006D5EB6">
        <w:trPr>
          <w:trHeight w:val="304"/>
        </w:trPr>
        <w:tc>
          <w:tcPr>
            <w:tcW w:w="4568"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b/>
                <w:bCs/>
                <w:color w:val="000000"/>
                <w:lang w:eastAsia="es-EC"/>
              </w:rPr>
            </w:pPr>
            <w:r w:rsidRPr="00E15C4D">
              <w:rPr>
                <w:rFonts w:ascii="Calibri" w:eastAsia="Times New Roman" w:hAnsi="Calibri" w:cs="Calibri"/>
                <w:b/>
                <w:bCs/>
                <w:color w:val="000000"/>
                <w:lang w:eastAsia="es-EC"/>
              </w:rPr>
              <w:t>TOTAL PASIVO + PATRIMONIO</w:t>
            </w:r>
          </w:p>
        </w:tc>
        <w:tc>
          <w:tcPr>
            <w:tcW w:w="1229"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937.442,03</w:t>
            </w:r>
          </w:p>
        </w:tc>
        <w:tc>
          <w:tcPr>
            <w:tcW w:w="1209" w:type="dxa"/>
            <w:shd w:val="clear" w:color="auto" w:fill="auto"/>
            <w:noWrap/>
            <w:vAlign w:val="bottom"/>
            <w:hideMark/>
          </w:tcPr>
          <w:p w:rsidR="006D5EB6" w:rsidRPr="00E15C4D" w:rsidRDefault="006D5EB6" w:rsidP="006D5EB6">
            <w:pPr>
              <w:spacing w:after="0" w:line="240" w:lineRule="auto"/>
              <w:jc w:val="right"/>
              <w:rPr>
                <w:rFonts w:ascii="Calibri" w:eastAsia="Times New Roman" w:hAnsi="Calibri" w:cs="Calibri"/>
                <w:color w:val="000000"/>
                <w:lang w:eastAsia="es-EC"/>
              </w:rPr>
            </w:pPr>
            <w:r w:rsidRPr="00E15C4D">
              <w:rPr>
                <w:rFonts w:ascii="Calibri" w:eastAsia="Times New Roman" w:hAnsi="Calibri" w:cs="Calibri"/>
                <w:color w:val="000000"/>
                <w:lang w:eastAsia="es-EC"/>
              </w:rPr>
              <w:t>470.738,11</w:t>
            </w:r>
          </w:p>
        </w:tc>
        <w:tc>
          <w:tcPr>
            <w:tcW w:w="1637"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c>
          <w:tcPr>
            <w:tcW w:w="1576" w:type="dxa"/>
            <w:shd w:val="clear" w:color="auto" w:fill="auto"/>
            <w:noWrap/>
            <w:vAlign w:val="bottom"/>
            <w:hideMark/>
          </w:tcPr>
          <w:p w:rsidR="006D5EB6" w:rsidRPr="00E15C4D" w:rsidRDefault="006D5EB6" w:rsidP="006D5EB6">
            <w:pPr>
              <w:spacing w:after="0" w:line="240" w:lineRule="auto"/>
              <w:rPr>
                <w:rFonts w:ascii="Calibri" w:eastAsia="Times New Roman" w:hAnsi="Calibri" w:cs="Calibri"/>
                <w:color w:val="000000"/>
                <w:lang w:eastAsia="es-EC"/>
              </w:rPr>
            </w:pPr>
            <w:r w:rsidRPr="00E15C4D">
              <w:rPr>
                <w:rFonts w:ascii="Calibri" w:eastAsia="Times New Roman" w:hAnsi="Calibri" w:cs="Calibri"/>
                <w:color w:val="000000"/>
                <w:lang w:eastAsia="es-EC"/>
              </w:rPr>
              <w:t> </w:t>
            </w:r>
          </w:p>
        </w:tc>
      </w:tr>
    </w:tbl>
    <w:p w:rsidR="006D5EB6" w:rsidRDefault="006D5EB6" w:rsidP="006D5EB6">
      <w:pPr>
        <w:spacing w:after="0" w:line="240" w:lineRule="auto"/>
        <w:jc w:val="center"/>
        <w:rPr>
          <w:rFonts w:ascii="Calibri" w:eastAsia="Times New Roman" w:hAnsi="Calibri" w:cs="Calibri"/>
          <w:b/>
          <w:bCs/>
          <w:color w:val="4F81BD"/>
          <w:lang w:eastAsia="es-EC"/>
        </w:rPr>
      </w:pPr>
    </w:p>
    <w:p w:rsidR="006D5EB6" w:rsidRDefault="006D5EB6" w:rsidP="006D5EB6">
      <w:pPr>
        <w:spacing w:after="0" w:line="240" w:lineRule="auto"/>
        <w:rPr>
          <w:rFonts w:ascii="Calibri" w:eastAsia="Times New Roman" w:hAnsi="Calibri" w:cs="Calibri"/>
          <w:b/>
          <w:bCs/>
          <w:color w:val="4F81BD"/>
          <w:lang w:eastAsia="es-EC"/>
        </w:rPr>
      </w:pPr>
    </w:p>
    <w:p w:rsidR="006D5EB6" w:rsidRDefault="006D5EB6" w:rsidP="006D5EB6">
      <w:pPr>
        <w:spacing w:after="0" w:line="240" w:lineRule="auto"/>
        <w:rPr>
          <w:rFonts w:ascii="Calibri" w:eastAsia="Times New Roman" w:hAnsi="Calibri" w:cs="Calibri"/>
          <w:b/>
          <w:bCs/>
          <w:color w:val="4F81BD"/>
          <w:lang w:eastAsia="es-EC"/>
        </w:rPr>
        <w:sectPr w:rsidR="006D5EB6" w:rsidSect="006D5EB6">
          <w:pgSz w:w="15840" w:h="12240" w:orient="landscape"/>
          <w:pgMar w:top="1701" w:right="1418" w:bottom="1701" w:left="1418" w:header="709" w:footer="709" w:gutter="0"/>
          <w:cols w:space="708"/>
          <w:docGrid w:linePitch="360"/>
        </w:sectPr>
      </w:pPr>
    </w:p>
    <w:p w:rsidR="006D5EB6" w:rsidRPr="000B29B0" w:rsidRDefault="006D5EB6" w:rsidP="006D5EB6">
      <w:pPr>
        <w:spacing w:after="0" w:line="240" w:lineRule="auto"/>
        <w:jc w:val="center"/>
        <w:rPr>
          <w:rFonts w:ascii="Calibri" w:eastAsia="Times New Roman" w:hAnsi="Calibri" w:cs="Calibri"/>
          <w:b/>
          <w:bCs/>
          <w:lang w:eastAsia="es-EC"/>
        </w:rPr>
      </w:pPr>
      <w:r w:rsidRPr="00EC6A4E">
        <w:rPr>
          <w:rFonts w:ascii="Calibri" w:eastAsia="Times New Roman" w:hAnsi="Calibri" w:cs="Calibri"/>
          <w:b/>
          <w:bCs/>
          <w:lang w:eastAsia="es-EC"/>
        </w:rPr>
        <w:lastRenderedPageBreak/>
        <w:t>ESTRUCTURA ECONÓMICA</w:t>
      </w:r>
      <w:r>
        <w:rPr>
          <w:rFonts w:ascii="Calibri" w:eastAsia="Times New Roman" w:hAnsi="Calibri" w:cs="Calibri"/>
          <w:b/>
          <w:bCs/>
          <w:lang w:eastAsia="es-EC"/>
        </w:rPr>
        <w:t xml:space="preserve"> - </w:t>
      </w:r>
      <w:r w:rsidRPr="00EC6A4E">
        <w:rPr>
          <w:rFonts w:ascii="Calibri" w:eastAsia="Times New Roman" w:hAnsi="Calibri" w:cs="Calibri"/>
          <w:b/>
          <w:bCs/>
          <w:color w:val="4F81BD"/>
          <w:lang w:eastAsia="es-EC"/>
        </w:rPr>
        <w:t>Método Horizontal</w:t>
      </w:r>
    </w:p>
    <w:p w:rsidR="006D5EB6" w:rsidRDefault="006D5EB6" w:rsidP="006D5EB6">
      <w:pPr>
        <w:spacing w:after="0" w:line="240" w:lineRule="auto"/>
        <w:rPr>
          <w:rFonts w:ascii="Calibri" w:eastAsia="Times New Roman" w:hAnsi="Calibri" w:cs="Calibri"/>
          <w:b/>
          <w:bCs/>
          <w:color w:val="4F81BD"/>
          <w:lang w:eastAsia="es-EC"/>
        </w:rPr>
      </w:pPr>
    </w:p>
    <w:tbl>
      <w:tblPr>
        <w:tblW w:w="3480" w:type="dxa"/>
        <w:jc w:val="center"/>
        <w:tblInd w:w="60" w:type="dxa"/>
        <w:tblCellMar>
          <w:left w:w="70" w:type="dxa"/>
          <w:right w:w="70" w:type="dxa"/>
        </w:tblCellMar>
        <w:tblLook w:val="04A0"/>
      </w:tblPr>
      <w:tblGrid>
        <w:gridCol w:w="2280"/>
        <w:gridCol w:w="1200"/>
      </w:tblGrid>
      <w:tr w:rsidR="006D5EB6" w:rsidRPr="00EC6A4E" w:rsidTr="006D5EB6">
        <w:trPr>
          <w:trHeight w:val="315"/>
          <w:jc w:val="center"/>
        </w:trPr>
        <w:tc>
          <w:tcPr>
            <w:tcW w:w="2280" w:type="dxa"/>
            <w:tcBorders>
              <w:top w:val="single" w:sz="8" w:space="0" w:color="666699"/>
              <w:left w:val="single" w:sz="8" w:space="0" w:color="666699"/>
              <w:bottom w:val="single" w:sz="8" w:space="0" w:color="666699"/>
              <w:right w:val="single" w:sz="8" w:space="0" w:color="666699"/>
            </w:tcBorders>
            <w:shd w:val="clear" w:color="auto" w:fill="auto"/>
            <w:noWrap/>
            <w:vAlign w:val="bottom"/>
            <w:hideMark/>
          </w:tcPr>
          <w:p w:rsidR="006D5EB6" w:rsidRPr="00EC6A4E" w:rsidRDefault="006D5EB6" w:rsidP="006D5EB6">
            <w:pPr>
              <w:spacing w:after="0" w:line="240" w:lineRule="auto"/>
              <w:jc w:val="center"/>
              <w:rPr>
                <w:rFonts w:ascii="Calibri" w:eastAsia="Times New Roman" w:hAnsi="Calibri" w:cs="Calibri"/>
                <w:b/>
                <w:bCs/>
                <w:color w:val="9966FF"/>
                <w:lang w:eastAsia="es-EC"/>
              </w:rPr>
            </w:pPr>
            <w:r w:rsidRPr="00EC6A4E">
              <w:rPr>
                <w:rFonts w:ascii="Calibri" w:eastAsia="Times New Roman" w:hAnsi="Calibri" w:cs="Calibri"/>
                <w:b/>
                <w:bCs/>
                <w:color w:val="9966FF"/>
                <w:lang w:eastAsia="es-EC"/>
              </w:rPr>
              <w:t>RUBROS</w:t>
            </w:r>
          </w:p>
        </w:tc>
        <w:tc>
          <w:tcPr>
            <w:tcW w:w="1200" w:type="dxa"/>
            <w:tcBorders>
              <w:top w:val="single" w:sz="8" w:space="0" w:color="666699"/>
              <w:left w:val="nil"/>
              <w:bottom w:val="single" w:sz="8" w:space="0" w:color="666699"/>
              <w:right w:val="single" w:sz="8" w:space="0" w:color="666699"/>
            </w:tcBorders>
            <w:shd w:val="clear" w:color="auto" w:fill="auto"/>
            <w:noWrap/>
            <w:vAlign w:val="bottom"/>
            <w:hideMark/>
          </w:tcPr>
          <w:p w:rsidR="006D5EB6" w:rsidRPr="00EC6A4E" w:rsidRDefault="006D5EB6" w:rsidP="006D5EB6">
            <w:pPr>
              <w:spacing w:after="0" w:line="240" w:lineRule="auto"/>
              <w:jc w:val="center"/>
              <w:rPr>
                <w:rFonts w:ascii="Calibri" w:eastAsia="Times New Roman" w:hAnsi="Calibri" w:cs="Calibri"/>
                <w:b/>
                <w:bCs/>
                <w:color w:val="9966FF"/>
                <w:lang w:eastAsia="es-EC"/>
              </w:rPr>
            </w:pPr>
            <w:r w:rsidRPr="00EC6A4E">
              <w:rPr>
                <w:rFonts w:ascii="Calibri" w:eastAsia="Times New Roman" w:hAnsi="Calibri" w:cs="Calibri"/>
                <w:b/>
                <w:bCs/>
                <w:color w:val="9966FF"/>
                <w:lang w:eastAsia="es-EC"/>
              </w:rPr>
              <w:t>%</w:t>
            </w:r>
          </w:p>
        </w:tc>
      </w:tr>
      <w:tr w:rsidR="006D5EB6" w:rsidRPr="00EC6A4E" w:rsidTr="006D5EB6">
        <w:trPr>
          <w:trHeight w:val="300"/>
          <w:jc w:val="center"/>
        </w:trPr>
        <w:tc>
          <w:tcPr>
            <w:tcW w:w="2280" w:type="dxa"/>
            <w:tcBorders>
              <w:top w:val="nil"/>
              <w:left w:val="single" w:sz="8" w:space="0" w:color="666699"/>
              <w:bottom w:val="single" w:sz="4" w:space="0" w:color="666699"/>
              <w:right w:val="single" w:sz="8" w:space="0" w:color="666699"/>
            </w:tcBorders>
            <w:shd w:val="clear" w:color="auto" w:fill="auto"/>
            <w:noWrap/>
            <w:vAlign w:val="bottom"/>
            <w:hideMark/>
          </w:tcPr>
          <w:p w:rsidR="006D5EB6" w:rsidRPr="00EC6A4E" w:rsidRDefault="006D5EB6" w:rsidP="006D5EB6">
            <w:pPr>
              <w:spacing w:after="0" w:line="240" w:lineRule="auto"/>
              <w:rPr>
                <w:rFonts w:ascii="Calibri" w:eastAsia="Times New Roman" w:hAnsi="Calibri" w:cs="Calibri"/>
                <w:color w:val="000000"/>
                <w:lang w:eastAsia="es-EC"/>
              </w:rPr>
            </w:pPr>
            <w:r w:rsidRPr="00EC6A4E">
              <w:rPr>
                <w:rFonts w:ascii="Calibri" w:eastAsia="Times New Roman" w:hAnsi="Calibri" w:cs="Calibri"/>
                <w:color w:val="000000"/>
                <w:lang w:eastAsia="es-EC"/>
              </w:rPr>
              <w:t>Caja</w:t>
            </w:r>
          </w:p>
        </w:tc>
        <w:tc>
          <w:tcPr>
            <w:tcW w:w="1200" w:type="dxa"/>
            <w:tcBorders>
              <w:top w:val="nil"/>
              <w:left w:val="nil"/>
              <w:bottom w:val="single" w:sz="4" w:space="0" w:color="666699"/>
              <w:right w:val="single" w:sz="8" w:space="0" w:color="666699"/>
            </w:tcBorders>
            <w:shd w:val="clear" w:color="auto" w:fill="auto"/>
            <w:noWrap/>
            <w:vAlign w:val="bottom"/>
            <w:hideMark/>
          </w:tcPr>
          <w:p w:rsidR="006D5EB6" w:rsidRPr="00EC6A4E" w:rsidRDefault="006D5EB6" w:rsidP="006D5EB6">
            <w:pPr>
              <w:spacing w:after="0" w:line="240" w:lineRule="auto"/>
              <w:jc w:val="right"/>
              <w:rPr>
                <w:rFonts w:ascii="Calibri" w:eastAsia="Times New Roman" w:hAnsi="Calibri" w:cs="Calibri"/>
                <w:color w:val="000000"/>
                <w:lang w:eastAsia="es-EC"/>
              </w:rPr>
            </w:pPr>
            <w:r w:rsidRPr="00EC6A4E">
              <w:rPr>
                <w:rFonts w:ascii="Calibri" w:eastAsia="Times New Roman" w:hAnsi="Calibri" w:cs="Calibri"/>
                <w:color w:val="000000"/>
                <w:lang w:eastAsia="es-EC"/>
              </w:rPr>
              <w:t>-100</w:t>
            </w:r>
          </w:p>
        </w:tc>
      </w:tr>
      <w:tr w:rsidR="006D5EB6" w:rsidRPr="00EC6A4E" w:rsidTr="006D5EB6">
        <w:trPr>
          <w:trHeight w:val="300"/>
          <w:jc w:val="center"/>
        </w:trPr>
        <w:tc>
          <w:tcPr>
            <w:tcW w:w="2280" w:type="dxa"/>
            <w:tcBorders>
              <w:top w:val="nil"/>
              <w:left w:val="single" w:sz="8" w:space="0" w:color="666699"/>
              <w:bottom w:val="single" w:sz="4" w:space="0" w:color="666699"/>
              <w:right w:val="single" w:sz="8" w:space="0" w:color="666699"/>
            </w:tcBorders>
            <w:shd w:val="clear" w:color="auto" w:fill="auto"/>
            <w:noWrap/>
            <w:vAlign w:val="bottom"/>
            <w:hideMark/>
          </w:tcPr>
          <w:p w:rsidR="006D5EB6" w:rsidRPr="00EC6A4E" w:rsidRDefault="006D5EB6" w:rsidP="006D5EB6">
            <w:pPr>
              <w:spacing w:after="0" w:line="240" w:lineRule="auto"/>
              <w:rPr>
                <w:rFonts w:ascii="Calibri" w:eastAsia="Times New Roman" w:hAnsi="Calibri" w:cs="Calibri"/>
                <w:color w:val="000000"/>
                <w:lang w:eastAsia="es-EC"/>
              </w:rPr>
            </w:pPr>
            <w:r w:rsidRPr="00EC6A4E">
              <w:rPr>
                <w:rFonts w:ascii="Calibri" w:eastAsia="Times New Roman" w:hAnsi="Calibri" w:cs="Calibri"/>
                <w:color w:val="000000"/>
                <w:lang w:eastAsia="es-EC"/>
              </w:rPr>
              <w:t>Bancos</w:t>
            </w:r>
          </w:p>
        </w:tc>
        <w:tc>
          <w:tcPr>
            <w:tcW w:w="1200" w:type="dxa"/>
            <w:tcBorders>
              <w:top w:val="nil"/>
              <w:left w:val="nil"/>
              <w:bottom w:val="single" w:sz="4" w:space="0" w:color="666699"/>
              <w:right w:val="single" w:sz="8" w:space="0" w:color="666699"/>
            </w:tcBorders>
            <w:shd w:val="clear" w:color="auto" w:fill="auto"/>
            <w:noWrap/>
            <w:vAlign w:val="bottom"/>
            <w:hideMark/>
          </w:tcPr>
          <w:p w:rsidR="006D5EB6" w:rsidRPr="00EC6A4E" w:rsidRDefault="006D5EB6" w:rsidP="006D5EB6">
            <w:pPr>
              <w:spacing w:after="0" w:line="240" w:lineRule="auto"/>
              <w:jc w:val="right"/>
              <w:rPr>
                <w:rFonts w:ascii="Calibri" w:eastAsia="Times New Roman" w:hAnsi="Calibri" w:cs="Calibri"/>
                <w:color w:val="000000"/>
                <w:lang w:eastAsia="es-EC"/>
              </w:rPr>
            </w:pPr>
            <w:r w:rsidRPr="00EC6A4E">
              <w:rPr>
                <w:rFonts w:ascii="Calibri" w:eastAsia="Times New Roman" w:hAnsi="Calibri" w:cs="Calibri"/>
                <w:color w:val="000000"/>
                <w:lang w:eastAsia="es-EC"/>
              </w:rPr>
              <w:t>-13,85</w:t>
            </w:r>
          </w:p>
        </w:tc>
      </w:tr>
      <w:tr w:rsidR="006D5EB6" w:rsidRPr="00EC6A4E" w:rsidTr="006D5EB6">
        <w:trPr>
          <w:trHeight w:val="300"/>
          <w:jc w:val="center"/>
        </w:trPr>
        <w:tc>
          <w:tcPr>
            <w:tcW w:w="2280" w:type="dxa"/>
            <w:tcBorders>
              <w:top w:val="nil"/>
              <w:left w:val="single" w:sz="8" w:space="0" w:color="666699"/>
              <w:bottom w:val="single" w:sz="4" w:space="0" w:color="666699"/>
              <w:right w:val="single" w:sz="8" w:space="0" w:color="666699"/>
            </w:tcBorders>
            <w:shd w:val="clear" w:color="auto" w:fill="auto"/>
            <w:noWrap/>
            <w:vAlign w:val="bottom"/>
            <w:hideMark/>
          </w:tcPr>
          <w:p w:rsidR="006D5EB6" w:rsidRPr="00EC6A4E" w:rsidRDefault="006D5EB6" w:rsidP="006D5EB6">
            <w:pPr>
              <w:spacing w:after="0" w:line="240" w:lineRule="auto"/>
              <w:rPr>
                <w:rFonts w:ascii="Calibri" w:eastAsia="Times New Roman" w:hAnsi="Calibri" w:cs="Calibri"/>
                <w:color w:val="000000"/>
                <w:lang w:eastAsia="es-EC"/>
              </w:rPr>
            </w:pPr>
            <w:r w:rsidRPr="00EC6A4E">
              <w:rPr>
                <w:rFonts w:ascii="Calibri" w:eastAsia="Times New Roman" w:hAnsi="Calibri" w:cs="Calibri"/>
                <w:color w:val="000000"/>
                <w:lang w:eastAsia="es-EC"/>
              </w:rPr>
              <w:t>Ctas. Por Cobrar</w:t>
            </w:r>
          </w:p>
        </w:tc>
        <w:tc>
          <w:tcPr>
            <w:tcW w:w="1200" w:type="dxa"/>
            <w:tcBorders>
              <w:top w:val="nil"/>
              <w:left w:val="nil"/>
              <w:bottom w:val="single" w:sz="4" w:space="0" w:color="666699"/>
              <w:right w:val="single" w:sz="8" w:space="0" w:color="666699"/>
            </w:tcBorders>
            <w:shd w:val="clear" w:color="auto" w:fill="auto"/>
            <w:noWrap/>
            <w:vAlign w:val="bottom"/>
            <w:hideMark/>
          </w:tcPr>
          <w:p w:rsidR="006D5EB6" w:rsidRPr="00EC6A4E" w:rsidRDefault="006D5EB6" w:rsidP="006D5EB6">
            <w:pPr>
              <w:spacing w:after="0" w:line="240" w:lineRule="auto"/>
              <w:jc w:val="right"/>
              <w:rPr>
                <w:rFonts w:ascii="Calibri" w:eastAsia="Times New Roman" w:hAnsi="Calibri" w:cs="Calibri"/>
                <w:color w:val="000000"/>
                <w:lang w:eastAsia="es-EC"/>
              </w:rPr>
            </w:pPr>
            <w:r w:rsidRPr="00EC6A4E">
              <w:rPr>
                <w:rFonts w:ascii="Calibri" w:eastAsia="Times New Roman" w:hAnsi="Calibri" w:cs="Calibri"/>
                <w:color w:val="000000"/>
                <w:lang w:eastAsia="es-EC"/>
              </w:rPr>
              <w:t>-46,38</w:t>
            </w:r>
          </w:p>
        </w:tc>
      </w:tr>
      <w:tr w:rsidR="006D5EB6" w:rsidRPr="00EC6A4E" w:rsidTr="006D5EB6">
        <w:trPr>
          <w:trHeight w:val="300"/>
          <w:jc w:val="center"/>
        </w:trPr>
        <w:tc>
          <w:tcPr>
            <w:tcW w:w="2280" w:type="dxa"/>
            <w:tcBorders>
              <w:top w:val="nil"/>
              <w:left w:val="single" w:sz="8" w:space="0" w:color="666699"/>
              <w:bottom w:val="single" w:sz="4" w:space="0" w:color="666699"/>
              <w:right w:val="single" w:sz="8" w:space="0" w:color="666699"/>
            </w:tcBorders>
            <w:shd w:val="clear" w:color="auto" w:fill="auto"/>
            <w:noWrap/>
            <w:vAlign w:val="bottom"/>
            <w:hideMark/>
          </w:tcPr>
          <w:p w:rsidR="006D5EB6" w:rsidRPr="00EC6A4E" w:rsidRDefault="006D5EB6" w:rsidP="006D5EB6">
            <w:pPr>
              <w:spacing w:after="0" w:line="240" w:lineRule="auto"/>
              <w:rPr>
                <w:rFonts w:ascii="Calibri" w:eastAsia="Times New Roman" w:hAnsi="Calibri" w:cs="Calibri"/>
                <w:color w:val="000000"/>
                <w:lang w:eastAsia="es-EC"/>
              </w:rPr>
            </w:pPr>
            <w:r w:rsidRPr="00EC6A4E">
              <w:rPr>
                <w:rFonts w:ascii="Calibri" w:eastAsia="Times New Roman" w:hAnsi="Calibri" w:cs="Calibri"/>
                <w:color w:val="000000"/>
                <w:lang w:eastAsia="es-EC"/>
              </w:rPr>
              <w:t>Prest. Socios</w:t>
            </w:r>
          </w:p>
        </w:tc>
        <w:tc>
          <w:tcPr>
            <w:tcW w:w="1200" w:type="dxa"/>
            <w:tcBorders>
              <w:top w:val="nil"/>
              <w:left w:val="nil"/>
              <w:bottom w:val="single" w:sz="4" w:space="0" w:color="666699"/>
              <w:right w:val="single" w:sz="8" w:space="0" w:color="666699"/>
            </w:tcBorders>
            <w:shd w:val="clear" w:color="auto" w:fill="auto"/>
            <w:noWrap/>
            <w:vAlign w:val="bottom"/>
            <w:hideMark/>
          </w:tcPr>
          <w:p w:rsidR="006D5EB6" w:rsidRPr="00EC6A4E" w:rsidRDefault="006D5EB6" w:rsidP="006D5EB6">
            <w:pPr>
              <w:spacing w:after="0" w:line="240" w:lineRule="auto"/>
              <w:jc w:val="right"/>
              <w:rPr>
                <w:rFonts w:ascii="Calibri" w:eastAsia="Times New Roman" w:hAnsi="Calibri" w:cs="Calibri"/>
                <w:color w:val="000000"/>
                <w:lang w:eastAsia="es-EC"/>
              </w:rPr>
            </w:pPr>
            <w:r w:rsidRPr="00EC6A4E">
              <w:rPr>
                <w:rFonts w:ascii="Calibri" w:eastAsia="Times New Roman" w:hAnsi="Calibri" w:cs="Calibri"/>
                <w:color w:val="000000"/>
                <w:lang w:eastAsia="es-EC"/>
              </w:rPr>
              <w:t>0,99</w:t>
            </w:r>
          </w:p>
        </w:tc>
      </w:tr>
      <w:tr w:rsidR="006D5EB6" w:rsidRPr="00EC6A4E" w:rsidTr="006D5EB6">
        <w:trPr>
          <w:trHeight w:val="300"/>
          <w:jc w:val="center"/>
        </w:trPr>
        <w:tc>
          <w:tcPr>
            <w:tcW w:w="2280" w:type="dxa"/>
            <w:tcBorders>
              <w:top w:val="nil"/>
              <w:left w:val="single" w:sz="8" w:space="0" w:color="666699"/>
              <w:bottom w:val="single" w:sz="4" w:space="0" w:color="666699"/>
              <w:right w:val="single" w:sz="8" w:space="0" w:color="666699"/>
            </w:tcBorders>
            <w:shd w:val="clear" w:color="auto" w:fill="auto"/>
            <w:noWrap/>
            <w:vAlign w:val="bottom"/>
            <w:hideMark/>
          </w:tcPr>
          <w:p w:rsidR="006D5EB6" w:rsidRPr="00EC6A4E" w:rsidRDefault="006D5EB6" w:rsidP="006D5EB6">
            <w:pPr>
              <w:spacing w:after="0" w:line="240" w:lineRule="auto"/>
              <w:rPr>
                <w:rFonts w:ascii="Calibri" w:eastAsia="Times New Roman" w:hAnsi="Calibri" w:cs="Calibri"/>
                <w:color w:val="000000"/>
                <w:lang w:eastAsia="es-EC"/>
              </w:rPr>
            </w:pPr>
            <w:r w:rsidRPr="00EC6A4E">
              <w:rPr>
                <w:rFonts w:ascii="Calibri" w:eastAsia="Times New Roman" w:hAnsi="Calibri" w:cs="Calibri"/>
                <w:color w:val="000000"/>
                <w:lang w:eastAsia="es-EC"/>
              </w:rPr>
              <w:t>Inversiones Pólizas</w:t>
            </w:r>
          </w:p>
        </w:tc>
        <w:tc>
          <w:tcPr>
            <w:tcW w:w="1200" w:type="dxa"/>
            <w:tcBorders>
              <w:top w:val="nil"/>
              <w:left w:val="nil"/>
              <w:bottom w:val="single" w:sz="4" w:space="0" w:color="666699"/>
              <w:right w:val="single" w:sz="8" w:space="0" w:color="666699"/>
            </w:tcBorders>
            <w:shd w:val="clear" w:color="auto" w:fill="auto"/>
            <w:noWrap/>
            <w:vAlign w:val="bottom"/>
            <w:hideMark/>
          </w:tcPr>
          <w:p w:rsidR="006D5EB6" w:rsidRPr="00EC6A4E" w:rsidRDefault="006D5EB6" w:rsidP="006D5EB6">
            <w:pPr>
              <w:spacing w:after="0" w:line="240" w:lineRule="auto"/>
              <w:jc w:val="right"/>
              <w:rPr>
                <w:rFonts w:ascii="Calibri" w:eastAsia="Times New Roman" w:hAnsi="Calibri" w:cs="Calibri"/>
                <w:color w:val="000000"/>
                <w:lang w:eastAsia="es-EC"/>
              </w:rPr>
            </w:pPr>
            <w:r w:rsidRPr="00EC6A4E">
              <w:rPr>
                <w:rFonts w:ascii="Calibri" w:eastAsia="Times New Roman" w:hAnsi="Calibri" w:cs="Calibri"/>
                <w:color w:val="000000"/>
                <w:lang w:eastAsia="es-EC"/>
              </w:rPr>
              <w:t>41,07</w:t>
            </w:r>
          </w:p>
        </w:tc>
      </w:tr>
      <w:tr w:rsidR="006D5EB6" w:rsidRPr="00EC6A4E" w:rsidTr="006D5EB6">
        <w:trPr>
          <w:trHeight w:val="300"/>
          <w:jc w:val="center"/>
        </w:trPr>
        <w:tc>
          <w:tcPr>
            <w:tcW w:w="2280" w:type="dxa"/>
            <w:tcBorders>
              <w:top w:val="nil"/>
              <w:left w:val="single" w:sz="8" w:space="0" w:color="666699"/>
              <w:bottom w:val="single" w:sz="4" w:space="0" w:color="666699"/>
              <w:right w:val="single" w:sz="8" w:space="0" w:color="666699"/>
            </w:tcBorders>
            <w:shd w:val="clear" w:color="auto" w:fill="auto"/>
            <w:noWrap/>
            <w:vAlign w:val="bottom"/>
            <w:hideMark/>
          </w:tcPr>
          <w:p w:rsidR="006D5EB6" w:rsidRPr="00EC6A4E" w:rsidRDefault="006D5EB6" w:rsidP="006D5EB6">
            <w:pPr>
              <w:spacing w:after="0" w:line="240" w:lineRule="auto"/>
              <w:rPr>
                <w:rFonts w:ascii="Calibri" w:eastAsia="Times New Roman" w:hAnsi="Calibri" w:cs="Calibri"/>
                <w:color w:val="000000"/>
                <w:lang w:eastAsia="es-EC"/>
              </w:rPr>
            </w:pPr>
            <w:r w:rsidRPr="00EC6A4E">
              <w:rPr>
                <w:rFonts w:ascii="Calibri" w:eastAsia="Times New Roman" w:hAnsi="Calibri" w:cs="Calibri"/>
                <w:color w:val="000000"/>
                <w:lang w:eastAsia="es-EC"/>
              </w:rPr>
              <w:t>Terrenos</w:t>
            </w:r>
          </w:p>
        </w:tc>
        <w:tc>
          <w:tcPr>
            <w:tcW w:w="1200" w:type="dxa"/>
            <w:tcBorders>
              <w:top w:val="nil"/>
              <w:left w:val="nil"/>
              <w:bottom w:val="single" w:sz="4" w:space="0" w:color="666699"/>
              <w:right w:val="single" w:sz="8" w:space="0" w:color="666699"/>
            </w:tcBorders>
            <w:shd w:val="clear" w:color="auto" w:fill="auto"/>
            <w:noWrap/>
            <w:vAlign w:val="bottom"/>
            <w:hideMark/>
          </w:tcPr>
          <w:p w:rsidR="006D5EB6" w:rsidRPr="00EC6A4E" w:rsidRDefault="006D5EB6" w:rsidP="006D5EB6">
            <w:pPr>
              <w:spacing w:after="0" w:line="240" w:lineRule="auto"/>
              <w:jc w:val="right"/>
              <w:rPr>
                <w:rFonts w:ascii="Calibri" w:eastAsia="Times New Roman" w:hAnsi="Calibri" w:cs="Calibri"/>
                <w:color w:val="000000"/>
                <w:lang w:eastAsia="es-EC"/>
              </w:rPr>
            </w:pPr>
            <w:r w:rsidRPr="00EC6A4E">
              <w:rPr>
                <w:rFonts w:ascii="Calibri" w:eastAsia="Times New Roman" w:hAnsi="Calibri" w:cs="Calibri"/>
                <w:color w:val="000000"/>
                <w:lang w:eastAsia="es-EC"/>
              </w:rPr>
              <w:t>-71,16</w:t>
            </w:r>
          </w:p>
        </w:tc>
      </w:tr>
      <w:tr w:rsidR="006D5EB6" w:rsidRPr="00EC6A4E" w:rsidTr="006D5EB6">
        <w:trPr>
          <w:trHeight w:val="300"/>
          <w:jc w:val="center"/>
        </w:trPr>
        <w:tc>
          <w:tcPr>
            <w:tcW w:w="2280" w:type="dxa"/>
            <w:tcBorders>
              <w:top w:val="nil"/>
              <w:left w:val="single" w:sz="8" w:space="0" w:color="666699"/>
              <w:bottom w:val="single" w:sz="4" w:space="0" w:color="666699"/>
              <w:right w:val="single" w:sz="8" w:space="0" w:color="666699"/>
            </w:tcBorders>
            <w:shd w:val="clear" w:color="auto" w:fill="auto"/>
            <w:noWrap/>
            <w:vAlign w:val="bottom"/>
            <w:hideMark/>
          </w:tcPr>
          <w:p w:rsidR="006D5EB6" w:rsidRPr="00EC6A4E" w:rsidRDefault="006D5EB6" w:rsidP="006D5EB6">
            <w:pPr>
              <w:spacing w:after="0" w:line="240" w:lineRule="auto"/>
              <w:rPr>
                <w:rFonts w:ascii="Calibri" w:eastAsia="Times New Roman" w:hAnsi="Calibri" w:cs="Calibri"/>
                <w:color w:val="000000"/>
                <w:lang w:eastAsia="es-EC"/>
              </w:rPr>
            </w:pPr>
            <w:r w:rsidRPr="00EC6A4E">
              <w:rPr>
                <w:rFonts w:ascii="Calibri" w:eastAsia="Times New Roman" w:hAnsi="Calibri" w:cs="Calibri"/>
                <w:color w:val="000000"/>
                <w:lang w:eastAsia="es-EC"/>
              </w:rPr>
              <w:t>Muebles y Equip.</w:t>
            </w:r>
          </w:p>
        </w:tc>
        <w:tc>
          <w:tcPr>
            <w:tcW w:w="1200" w:type="dxa"/>
            <w:tcBorders>
              <w:top w:val="nil"/>
              <w:left w:val="nil"/>
              <w:bottom w:val="single" w:sz="4" w:space="0" w:color="666699"/>
              <w:right w:val="single" w:sz="8" w:space="0" w:color="666699"/>
            </w:tcBorders>
            <w:shd w:val="clear" w:color="auto" w:fill="auto"/>
            <w:noWrap/>
            <w:vAlign w:val="bottom"/>
            <w:hideMark/>
          </w:tcPr>
          <w:p w:rsidR="006D5EB6" w:rsidRPr="00EC6A4E" w:rsidRDefault="006D5EB6" w:rsidP="006D5EB6">
            <w:pPr>
              <w:spacing w:after="0" w:line="240" w:lineRule="auto"/>
              <w:jc w:val="right"/>
              <w:rPr>
                <w:rFonts w:ascii="Calibri" w:eastAsia="Times New Roman" w:hAnsi="Calibri" w:cs="Calibri"/>
                <w:color w:val="000000"/>
                <w:lang w:eastAsia="es-EC"/>
              </w:rPr>
            </w:pPr>
            <w:r w:rsidRPr="00EC6A4E">
              <w:rPr>
                <w:rFonts w:ascii="Calibri" w:eastAsia="Times New Roman" w:hAnsi="Calibri" w:cs="Calibri"/>
                <w:color w:val="000000"/>
                <w:lang w:eastAsia="es-EC"/>
              </w:rPr>
              <w:t>7,03</w:t>
            </w:r>
          </w:p>
        </w:tc>
      </w:tr>
      <w:tr w:rsidR="006D5EB6" w:rsidRPr="00EC6A4E" w:rsidTr="006D5EB6">
        <w:trPr>
          <w:trHeight w:val="300"/>
          <w:jc w:val="center"/>
        </w:trPr>
        <w:tc>
          <w:tcPr>
            <w:tcW w:w="2280" w:type="dxa"/>
            <w:tcBorders>
              <w:top w:val="nil"/>
              <w:left w:val="single" w:sz="8" w:space="0" w:color="666699"/>
              <w:bottom w:val="single" w:sz="4" w:space="0" w:color="666699"/>
              <w:right w:val="single" w:sz="8" w:space="0" w:color="666699"/>
            </w:tcBorders>
            <w:shd w:val="clear" w:color="auto" w:fill="auto"/>
            <w:noWrap/>
            <w:vAlign w:val="bottom"/>
            <w:hideMark/>
          </w:tcPr>
          <w:p w:rsidR="006D5EB6" w:rsidRPr="00EC6A4E" w:rsidRDefault="006D5EB6" w:rsidP="006D5EB6">
            <w:pPr>
              <w:spacing w:after="0" w:line="240" w:lineRule="auto"/>
              <w:rPr>
                <w:rFonts w:ascii="Calibri" w:eastAsia="Times New Roman" w:hAnsi="Calibri" w:cs="Calibri"/>
                <w:color w:val="000000"/>
                <w:lang w:eastAsia="es-EC"/>
              </w:rPr>
            </w:pPr>
            <w:r w:rsidRPr="00EC6A4E">
              <w:rPr>
                <w:rFonts w:ascii="Calibri" w:eastAsia="Times New Roman" w:hAnsi="Calibri" w:cs="Calibri"/>
                <w:color w:val="000000"/>
                <w:lang w:eastAsia="es-EC"/>
              </w:rPr>
              <w:t>Equipo de Comp.</w:t>
            </w:r>
          </w:p>
        </w:tc>
        <w:tc>
          <w:tcPr>
            <w:tcW w:w="1200" w:type="dxa"/>
            <w:tcBorders>
              <w:top w:val="nil"/>
              <w:left w:val="nil"/>
              <w:bottom w:val="single" w:sz="4" w:space="0" w:color="666699"/>
              <w:right w:val="single" w:sz="8" w:space="0" w:color="666699"/>
            </w:tcBorders>
            <w:shd w:val="clear" w:color="auto" w:fill="auto"/>
            <w:noWrap/>
            <w:vAlign w:val="bottom"/>
            <w:hideMark/>
          </w:tcPr>
          <w:p w:rsidR="006D5EB6" w:rsidRPr="00EC6A4E" w:rsidRDefault="006D5EB6" w:rsidP="006D5EB6">
            <w:pPr>
              <w:spacing w:after="0" w:line="240" w:lineRule="auto"/>
              <w:jc w:val="right"/>
              <w:rPr>
                <w:rFonts w:ascii="Calibri" w:eastAsia="Times New Roman" w:hAnsi="Calibri" w:cs="Calibri"/>
                <w:color w:val="000000"/>
                <w:lang w:eastAsia="es-EC"/>
              </w:rPr>
            </w:pPr>
            <w:r w:rsidRPr="00EC6A4E">
              <w:rPr>
                <w:rFonts w:ascii="Calibri" w:eastAsia="Times New Roman" w:hAnsi="Calibri" w:cs="Calibri"/>
                <w:color w:val="000000"/>
                <w:lang w:eastAsia="es-EC"/>
              </w:rPr>
              <w:t>18,32</w:t>
            </w:r>
          </w:p>
        </w:tc>
      </w:tr>
      <w:tr w:rsidR="006D5EB6" w:rsidRPr="00EC6A4E" w:rsidTr="006D5EB6">
        <w:trPr>
          <w:trHeight w:val="300"/>
          <w:jc w:val="center"/>
        </w:trPr>
        <w:tc>
          <w:tcPr>
            <w:tcW w:w="2280" w:type="dxa"/>
            <w:tcBorders>
              <w:top w:val="nil"/>
              <w:left w:val="single" w:sz="8" w:space="0" w:color="666699"/>
              <w:bottom w:val="single" w:sz="4" w:space="0" w:color="666699"/>
              <w:right w:val="single" w:sz="8" w:space="0" w:color="666699"/>
            </w:tcBorders>
            <w:shd w:val="clear" w:color="auto" w:fill="auto"/>
            <w:noWrap/>
            <w:vAlign w:val="bottom"/>
            <w:hideMark/>
          </w:tcPr>
          <w:p w:rsidR="006D5EB6" w:rsidRPr="00EC6A4E" w:rsidRDefault="006D5EB6" w:rsidP="006D5EB6">
            <w:pPr>
              <w:spacing w:after="0" w:line="240" w:lineRule="auto"/>
              <w:rPr>
                <w:rFonts w:ascii="Calibri" w:eastAsia="Times New Roman" w:hAnsi="Calibri" w:cs="Calibri"/>
                <w:color w:val="000000"/>
                <w:lang w:eastAsia="es-EC"/>
              </w:rPr>
            </w:pPr>
            <w:r w:rsidRPr="00EC6A4E">
              <w:rPr>
                <w:rFonts w:ascii="Calibri" w:eastAsia="Times New Roman" w:hAnsi="Calibri" w:cs="Calibri"/>
                <w:color w:val="000000"/>
                <w:lang w:eastAsia="es-EC"/>
              </w:rPr>
              <w:t>Dep. Acum.Muebles</w:t>
            </w:r>
          </w:p>
        </w:tc>
        <w:tc>
          <w:tcPr>
            <w:tcW w:w="1200" w:type="dxa"/>
            <w:tcBorders>
              <w:top w:val="nil"/>
              <w:left w:val="nil"/>
              <w:bottom w:val="single" w:sz="4" w:space="0" w:color="666699"/>
              <w:right w:val="single" w:sz="8" w:space="0" w:color="666699"/>
            </w:tcBorders>
            <w:shd w:val="clear" w:color="auto" w:fill="auto"/>
            <w:noWrap/>
            <w:vAlign w:val="bottom"/>
            <w:hideMark/>
          </w:tcPr>
          <w:p w:rsidR="006D5EB6" w:rsidRPr="00EC6A4E" w:rsidRDefault="006D5EB6" w:rsidP="006D5EB6">
            <w:pPr>
              <w:spacing w:after="0" w:line="240" w:lineRule="auto"/>
              <w:jc w:val="right"/>
              <w:rPr>
                <w:rFonts w:ascii="Calibri" w:eastAsia="Times New Roman" w:hAnsi="Calibri" w:cs="Calibri"/>
                <w:color w:val="000000"/>
                <w:lang w:eastAsia="es-EC"/>
              </w:rPr>
            </w:pPr>
            <w:r w:rsidRPr="00EC6A4E">
              <w:rPr>
                <w:rFonts w:ascii="Calibri" w:eastAsia="Times New Roman" w:hAnsi="Calibri" w:cs="Calibri"/>
                <w:color w:val="000000"/>
                <w:lang w:eastAsia="es-EC"/>
              </w:rPr>
              <w:t>-1,13</w:t>
            </w:r>
          </w:p>
        </w:tc>
      </w:tr>
      <w:tr w:rsidR="006D5EB6" w:rsidRPr="00EC6A4E" w:rsidTr="006D5EB6">
        <w:trPr>
          <w:trHeight w:val="300"/>
          <w:jc w:val="center"/>
        </w:trPr>
        <w:tc>
          <w:tcPr>
            <w:tcW w:w="2280" w:type="dxa"/>
            <w:tcBorders>
              <w:top w:val="nil"/>
              <w:left w:val="single" w:sz="8" w:space="0" w:color="666699"/>
              <w:bottom w:val="single" w:sz="4" w:space="0" w:color="666699"/>
              <w:right w:val="single" w:sz="8" w:space="0" w:color="666699"/>
            </w:tcBorders>
            <w:shd w:val="clear" w:color="auto" w:fill="auto"/>
            <w:noWrap/>
            <w:vAlign w:val="bottom"/>
            <w:hideMark/>
          </w:tcPr>
          <w:p w:rsidR="006D5EB6" w:rsidRPr="00EC6A4E" w:rsidRDefault="006D5EB6" w:rsidP="006D5EB6">
            <w:pPr>
              <w:spacing w:after="0" w:line="240" w:lineRule="auto"/>
              <w:rPr>
                <w:rFonts w:ascii="Calibri" w:eastAsia="Times New Roman" w:hAnsi="Calibri" w:cs="Calibri"/>
                <w:color w:val="000000"/>
                <w:lang w:eastAsia="es-EC"/>
              </w:rPr>
            </w:pPr>
            <w:r w:rsidRPr="00EC6A4E">
              <w:rPr>
                <w:rFonts w:ascii="Calibri" w:eastAsia="Times New Roman" w:hAnsi="Calibri" w:cs="Calibri"/>
                <w:color w:val="000000"/>
                <w:lang w:eastAsia="es-EC"/>
              </w:rPr>
              <w:t>Dep. Acum. Equipo</w:t>
            </w:r>
          </w:p>
        </w:tc>
        <w:tc>
          <w:tcPr>
            <w:tcW w:w="1200" w:type="dxa"/>
            <w:tcBorders>
              <w:top w:val="nil"/>
              <w:left w:val="nil"/>
              <w:bottom w:val="single" w:sz="4" w:space="0" w:color="666699"/>
              <w:right w:val="single" w:sz="8" w:space="0" w:color="666699"/>
            </w:tcBorders>
            <w:shd w:val="clear" w:color="auto" w:fill="auto"/>
            <w:noWrap/>
            <w:vAlign w:val="bottom"/>
            <w:hideMark/>
          </w:tcPr>
          <w:p w:rsidR="006D5EB6" w:rsidRPr="00EC6A4E" w:rsidRDefault="006D5EB6" w:rsidP="006D5EB6">
            <w:pPr>
              <w:spacing w:after="0" w:line="240" w:lineRule="auto"/>
              <w:jc w:val="right"/>
              <w:rPr>
                <w:rFonts w:ascii="Calibri" w:eastAsia="Times New Roman" w:hAnsi="Calibri" w:cs="Calibri"/>
                <w:color w:val="000000"/>
                <w:lang w:eastAsia="es-EC"/>
              </w:rPr>
            </w:pPr>
            <w:r w:rsidRPr="00EC6A4E">
              <w:rPr>
                <w:rFonts w:ascii="Calibri" w:eastAsia="Times New Roman" w:hAnsi="Calibri" w:cs="Calibri"/>
                <w:color w:val="000000"/>
                <w:lang w:eastAsia="es-EC"/>
              </w:rPr>
              <w:t>30,77</w:t>
            </w:r>
          </w:p>
        </w:tc>
      </w:tr>
      <w:tr w:rsidR="006D5EB6" w:rsidRPr="00EC6A4E" w:rsidTr="006D5EB6">
        <w:trPr>
          <w:trHeight w:val="300"/>
          <w:jc w:val="center"/>
        </w:trPr>
        <w:tc>
          <w:tcPr>
            <w:tcW w:w="2280" w:type="dxa"/>
            <w:tcBorders>
              <w:top w:val="nil"/>
              <w:left w:val="single" w:sz="8" w:space="0" w:color="666699"/>
              <w:bottom w:val="single" w:sz="4" w:space="0" w:color="666699"/>
              <w:right w:val="single" w:sz="8" w:space="0" w:color="666699"/>
            </w:tcBorders>
            <w:shd w:val="clear" w:color="auto" w:fill="auto"/>
            <w:noWrap/>
            <w:vAlign w:val="bottom"/>
            <w:hideMark/>
          </w:tcPr>
          <w:p w:rsidR="006D5EB6" w:rsidRPr="00EC6A4E" w:rsidRDefault="006D5EB6" w:rsidP="006D5EB6">
            <w:pPr>
              <w:spacing w:after="0" w:line="240" w:lineRule="auto"/>
              <w:rPr>
                <w:rFonts w:ascii="Calibri" w:eastAsia="Times New Roman" w:hAnsi="Calibri" w:cs="Calibri"/>
                <w:color w:val="000000"/>
                <w:lang w:eastAsia="es-EC"/>
              </w:rPr>
            </w:pPr>
            <w:r w:rsidRPr="00EC6A4E">
              <w:rPr>
                <w:rFonts w:ascii="Calibri" w:eastAsia="Times New Roman" w:hAnsi="Calibri" w:cs="Calibri"/>
                <w:color w:val="000000"/>
                <w:lang w:eastAsia="es-EC"/>
              </w:rPr>
              <w:t>Dep. Acum. Edificios</w:t>
            </w:r>
          </w:p>
        </w:tc>
        <w:tc>
          <w:tcPr>
            <w:tcW w:w="1200" w:type="dxa"/>
            <w:tcBorders>
              <w:top w:val="nil"/>
              <w:left w:val="nil"/>
              <w:bottom w:val="single" w:sz="4" w:space="0" w:color="666699"/>
              <w:right w:val="single" w:sz="8" w:space="0" w:color="666699"/>
            </w:tcBorders>
            <w:shd w:val="clear" w:color="auto" w:fill="auto"/>
            <w:noWrap/>
            <w:vAlign w:val="bottom"/>
            <w:hideMark/>
          </w:tcPr>
          <w:p w:rsidR="006D5EB6" w:rsidRPr="00EC6A4E" w:rsidRDefault="006D5EB6" w:rsidP="006D5EB6">
            <w:pPr>
              <w:spacing w:after="0" w:line="240" w:lineRule="auto"/>
              <w:jc w:val="right"/>
              <w:rPr>
                <w:rFonts w:ascii="Calibri" w:eastAsia="Times New Roman" w:hAnsi="Calibri" w:cs="Calibri"/>
                <w:color w:val="000000"/>
                <w:lang w:eastAsia="es-EC"/>
              </w:rPr>
            </w:pPr>
            <w:r w:rsidRPr="00EC6A4E">
              <w:rPr>
                <w:rFonts w:ascii="Calibri" w:eastAsia="Times New Roman" w:hAnsi="Calibri" w:cs="Calibri"/>
                <w:color w:val="000000"/>
                <w:lang w:eastAsia="es-EC"/>
              </w:rPr>
              <w:t>-1,68</w:t>
            </w:r>
          </w:p>
        </w:tc>
      </w:tr>
      <w:tr w:rsidR="006D5EB6" w:rsidRPr="00EC6A4E" w:rsidTr="006D5EB6">
        <w:trPr>
          <w:trHeight w:val="300"/>
          <w:jc w:val="center"/>
        </w:trPr>
        <w:tc>
          <w:tcPr>
            <w:tcW w:w="2280" w:type="dxa"/>
            <w:tcBorders>
              <w:top w:val="nil"/>
              <w:left w:val="single" w:sz="8" w:space="0" w:color="666699"/>
              <w:bottom w:val="single" w:sz="4" w:space="0" w:color="666699"/>
              <w:right w:val="single" w:sz="8" w:space="0" w:color="666699"/>
            </w:tcBorders>
            <w:shd w:val="clear" w:color="auto" w:fill="auto"/>
            <w:noWrap/>
            <w:vAlign w:val="bottom"/>
            <w:hideMark/>
          </w:tcPr>
          <w:p w:rsidR="006D5EB6" w:rsidRPr="00EC6A4E" w:rsidRDefault="006D5EB6" w:rsidP="006D5EB6">
            <w:pPr>
              <w:spacing w:after="0" w:line="240" w:lineRule="auto"/>
              <w:rPr>
                <w:rFonts w:ascii="Calibri" w:eastAsia="Times New Roman" w:hAnsi="Calibri" w:cs="Calibri"/>
                <w:color w:val="000000"/>
                <w:lang w:eastAsia="es-EC"/>
              </w:rPr>
            </w:pPr>
            <w:r w:rsidRPr="00EC6A4E">
              <w:rPr>
                <w:rFonts w:ascii="Calibri" w:eastAsia="Times New Roman" w:hAnsi="Calibri" w:cs="Calibri"/>
                <w:color w:val="000000"/>
                <w:lang w:eastAsia="es-EC"/>
              </w:rPr>
              <w:t>Cargos Diferidos</w:t>
            </w:r>
          </w:p>
        </w:tc>
        <w:tc>
          <w:tcPr>
            <w:tcW w:w="1200" w:type="dxa"/>
            <w:tcBorders>
              <w:top w:val="nil"/>
              <w:left w:val="nil"/>
              <w:bottom w:val="single" w:sz="4" w:space="0" w:color="666699"/>
              <w:right w:val="single" w:sz="8" w:space="0" w:color="666699"/>
            </w:tcBorders>
            <w:shd w:val="clear" w:color="auto" w:fill="auto"/>
            <w:noWrap/>
            <w:vAlign w:val="bottom"/>
            <w:hideMark/>
          </w:tcPr>
          <w:p w:rsidR="006D5EB6" w:rsidRPr="00EC6A4E" w:rsidRDefault="006D5EB6" w:rsidP="006D5EB6">
            <w:pPr>
              <w:spacing w:after="0" w:line="240" w:lineRule="auto"/>
              <w:jc w:val="right"/>
              <w:rPr>
                <w:rFonts w:ascii="Calibri" w:eastAsia="Times New Roman" w:hAnsi="Calibri" w:cs="Calibri"/>
                <w:color w:val="000000"/>
                <w:lang w:eastAsia="es-EC"/>
              </w:rPr>
            </w:pPr>
            <w:r w:rsidRPr="00EC6A4E">
              <w:rPr>
                <w:rFonts w:ascii="Calibri" w:eastAsia="Times New Roman" w:hAnsi="Calibri" w:cs="Calibri"/>
                <w:color w:val="000000"/>
                <w:lang w:eastAsia="es-EC"/>
              </w:rPr>
              <w:t>0,00</w:t>
            </w:r>
          </w:p>
        </w:tc>
      </w:tr>
      <w:tr w:rsidR="006D5EB6" w:rsidRPr="00EC6A4E" w:rsidTr="006D5EB6">
        <w:trPr>
          <w:trHeight w:val="300"/>
          <w:jc w:val="center"/>
        </w:trPr>
        <w:tc>
          <w:tcPr>
            <w:tcW w:w="2280" w:type="dxa"/>
            <w:tcBorders>
              <w:top w:val="nil"/>
              <w:left w:val="single" w:sz="8" w:space="0" w:color="666699"/>
              <w:bottom w:val="single" w:sz="4" w:space="0" w:color="666699"/>
              <w:right w:val="single" w:sz="8" w:space="0" w:color="666699"/>
            </w:tcBorders>
            <w:shd w:val="clear" w:color="auto" w:fill="auto"/>
            <w:noWrap/>
            <w:vAlign w:val="bottom"/>
            <w:hideMark/>
          </w:tcPr>
          <w:p w:rsidR="006D5EB6" w:rsidRPr="00EC6A4E" w:rsidRDefault="006D5EB6" w:rsidP="006D5EB6">
            <w:pPr>
              <w:spacing w:after="0" w:line="240" w:lineRule="auto"/>
              <w:rPr>
                <w:rFonts w:ascii="Calibri" w:eastAsia="Times New Roman" w:hAnsi="Calibri" w:cs="Calibri"/>
                <w:color w:val="000000"/>
                <w:lang w:eastAsia="es-EC"/>
              </w:rPr>
            </w:pPr>
            <w:r w:rsidRPr="00EC6A4E">
              <w:rPr>
                <w:rFonts w:ascii="Calibri" w:eastAsia="Times New Roman" w:hAnsi="Calibri" w:cs="Calibri"/>
                <w:color w:val="000000"/>
                <w:lang w:eastAsia="es-EC"/>
              </w:rPr>
              <w:t xml:space="preserve">Garantías </w:t>
            </w:r>
          </w:p>
        </w:tc>
        <w:tc>
          <w:tcPr>
            <w:tcW w:w="1200" w:type="dxa"/>
            <w:tcBorders>
              <w:top w:val="nil"/>
              <w:left w:val="nil"/>
              <w:bottom w:val="single" w:sz="4" w:space="0" w:color="666699"/>
              <w:right w:val="single" w:sz="8" w:space="0" w:color="666699"/>
            </w:tcBorders>
            <w:shd w:val="clear" w:color="auto" w:fill="auto"/>
            <w:noWrap/>
            <w:vAlign w:val="bottom"/>
            <w:hideMark/>
          </w:tcPr>
          <w:p w:rsidR="006D5EB6" w:rsidRPr="00EC6A4E" w:rsidRDefault="006D5EB6" w:rsidP="006D5EB6">
            <w:pPr>
              <w:spacing w:after="0" w:line="240" w:lineRule="auto"/>
              <w:jc w:val="right"/>
              <w:rPr>
                <w:rFonts w:ascii="Calibri" w:eastAsia="Times New Roman" w:hAnsi="Calibri" w:cs="Calibri"/>
                <w:color w:val="000000"/>
                <w:lang w:eastAsia="es-EC"/>
              </w:rPr>
            </w:pPr>
            <w:r w:rsidRPr="00EC6A4E">
              <w:rPr>
                <w:rFonts w:ascii="Calibri" w:eastAsia="Times New Roman" w:hAnsi="Calibri" w:cs="Calibri"/>
                <w:color w:val="000000"/>
                <w:lang w:eastAsia="es-EC"/>
              </w:rPr>
              <w:t>0,00</w:t>
            </w:r>
          </w:p>
        </w:tc>
      </w:tr>
      <w:tr w:rsidR="006D5EB6" w:rsidRPr="00EC6A4E" w:rsidTr="006D5EB6">
        <w:trPr>
          <w:trHeight w:val="300"/>
          <w:jc w:val="center"/>
        </w:trPr>
        <w:tc>
          <w:tcPr>
            <w:tcW w:w="2280" w:type="dxa"/>
            <w:tcBorders>
              <w:top w:val="nil"/>
              <w:left w:val="single" w:sz="8" w:space="0" w:color="666699"/>
              <w:bottom w:val="single" w:sz="4" w:space="0" w:color="666699"/>
              <w:right w:val="single" w:sz="8" w:space="0" w:color="666699"/>
            </w:tcBorders>
            <w:shd w:val="clear" w:color="auto" w:fill="auto"/>
            <w:noWrap/>
            <w:vAlign w:val="bottom"/>
            <w:hideMark/>
          </w:tcPr>
          <w:p w:rsidR="006D5EB6" w:rsidRPr="00EC6A4E" w:rsidRDefault="006D5EB6" w:rsidP="006D5EB6">
            <w:pPr>
              <w:spacing w:after="0" w:line="240" w:lineRule="auto"/>
              <w:rPr>
                <w:rFonts w:ascii="Calibri" w:eastAsia="Times New Roman" w:hAnsi="Calibri" w:cs="Calibri"/>
                <w:color w:val="000000"/>
                <w:lang w:eastAsia="es-EC"/>
              </w:rPr>
            </w:pPr>
            <w:r w:rsidRPr="00EC6A4E">
              <w:rPr>
                <w:rFonts w:ascii="Calibri" w:eastAsia="Times New Roman" w:hAnsi="Calibri" w:cs="Calibri"/>
                <w:color w:val="000000"/>
                <w:lang w:eastAsia="es-EC"/>
              </w:rPr>
              <w:t>Cofres Mortuorios</w:t>
            </w:r>
          </w:p>
        </w:tc>
        <w:tc>
          <w:tcPr>
            <w:tcW w:w="1200" w:type="dxa"/>
            <w:tcBorders>
              <w:top w:val="nil"/>
              <w:left w:val="nil"/>
              <w:bottom w:val="single" w:sz="4" w:space="0" w:color="666699"/>
              <w:right w:val="single" w:sz="8" w:space="0" w:color="666699"/>
            </w:tcBorders>
            <w:shd w:val="clear" w:color="auto" w:fill="auto"/>
            <w:noWrap/>
            <w:vAlign w:val="bottom"/>
            <w:hideMark/>
          </w:tcPr>
          <w:p w:rsidR="006D5EB6" w:rsidRPr="00EC6A4E" w:rsidRDefault="006D5EB6" w:rsidP="006D5EB6">
            <w:pPr>
              <w:spacing w:after="0" w:line="240" w:lineRule="auto"/>
              <w:jc w:val="right"/>
              <w:rPr>
                <w:rFonts w:ascii="Calibri" w:eastAsia="Times New Roman" w:hAnsi="Calibri" w:cs="Calibri"/>
                <w:color w:val="000000"/>
                <w:lang w:eastAsia="es-EC"/>
              </w:rPr>
            </w:pPr>
            <w:r w:rsidRPr="00EC6A4E">
              <w:rPr>
                <w:rFonts w:ascii="Calibri" w:eastAsia="Times New Roman" w:hAnsi="Calibri" w:cs="Calibri"/>
                <w:color w:val="000000"/>
                <w:lang w:eastAsia="es-EC"/>
              </w:rPr>
              <w:t>0</w:t>
            </w:r>
          </w:p>
        </w:tc>
      </w:tr>
      <w:tr w:rsidR="006D5EB6" w:rsidRPr="00EC6A4E" w:rsidTr="006D5EB6">
        <w:trPr>
          <w:trHeight w:val="315"/>
          <w:jc w:val="center"/>
        </w:trPr>
        <w:tc>
          <w:tcPr>
            <w:tcW w:w="2280" w:type="dxa"/>
            <w:tcBorders>
              <w:top w:val="nil"/>
              <w:left w:val="single" w:sz="8" w:space="0" w:color="666699"/>
              <w:bottom w:val="single" w:sz="8" w:space="0" w:color="666699"/>
              <w:right w:val="single" w:sz="8" w:space="0" w:color="666699"/>
            </w:tcBorders>
            <w:shd w:val="clear" w:color="auto" w:fill="auto"/>
            <w:noWrap/>
            <w:vAlign w:val="bottom"/>
            <w:hideMark/>
          </w:tcPr>
          <w:p w:rsidR="006D5EB6" w:rsidRPr="00EC6A4E" w:rsidRDefault="006D5EB6" w:rsidP="006D5EB6">
            <w:pPr>
              <w:spacing w:after="0" w:line="240" w:lineRule="auto"/>
              <w:rPr>
                <w:rFonts w:ascii="Calibri" w:eastAsia="Times New Roman" w:hAnsi="Calibri" w:cs="Calibri"/>
                <w:color w:val="000000"/>
                <w:lang w:eastAsia="es-EC"/>
              </w:rPr>
            </w:pPr>
            <w:r w:rsidRPr="00EC6A4E">
              <w:rPr>
                <w:rFonts w:ascii="Calibri" w:eastAsia="Times New Roman" w:hAnsi="Calibri" w:cs="Calibri"/>
                <w:color w:val="000000"/>
                <w:lang w:eastAsia="es-EC"/>
              </w:rPr>
              <w:t>Revaloriz. Certif. Aport</w:t>
            </w:r>
          </w:p>
        </w:tc>
        <w:tc>
          <w:tcPr>
            <w:tcW w:w="1200" w:type="dxa"/>
            <w:tcBorders>
              <w:top w:val="nil"/>
              <w:left w:val="nil"/>
              <w:bottom w:val="single" w:sz="8" w:space="0" w:color="666699"/>
              <w:right w:val="single" w:sz="8" w:space="0" w:color="666699"/>
            </w:tcBorders>
            <w:shd w:val="clear" w:color="auto" w:fill="auto"/>
            <w:noWrap/>
            <w:vAlign w:val="bottom"/>
            <w:hideMark/>
          </w:tcPr>
          <w:p w:rsidR="006D5EB6" w:rsidRPr="00EC6A4E" w:rsidRDefault="006D5EB6" w:rsidP="006D5EB6">
            <w:pPr>
              <w:spacing w:after="0" w:line="240" w:lineRule="auto"/>
              <w:jc w:val="right"/>
              <w:rPr>
                <w:rFonts w:ascii="Calibri" w:eastAsia="Times New Roman" w:hAnsi="Calibri" w:cs="Calibri"/>
                <w:color w:val="000000"/>
                <w:lang w:eastAsia="es-EC"/>
              </w:rPr>
            </w:pPr>
            <w:r w:rsidRPr="00EC6A4E">
              <w:rPr>
                <w:rFonts w:ascii="Calibri" w:eastAsia="Times New Roman" w:hAnsi="Calibri" w:cs="Calibri"/>
                <w:color w:val="000000"/>
                <w:lang w:eastAsia="es-EC"/>
              </w:rPr>
              <w:t>-100</w:t>
            </w:r>
          </w:p>
        </w:tc>
      </w:tr>
    </w:tbl>
    <w:p w:rsidR="006D5EB6" w:rsidRDefault="006D5EB6" w:rsidP="006D5EB6">
      <w:pPr>
        <w:spacing w:after="0" w:line="240" w:lineRule="auto"/>
        <w:rPr>
          <w:rFonts w:ascii="Calibri" w:eastAsia="Times New Roman" w:hAnsi="Calibri" w:cs="Calibri"/>
          <w:b/>
          <w:bCs/>
          <w:color w:val="4F81BD"/>
          <w:lang w:eastAsia="es-EC"/>
        </w:rPr>
      </w:pPr>
    </w:p>
    <w:p w:rsidR="006D5EB6" w:rsidRDefault="006D5EB6" w:rsidP="006D5EB6">
      <w:pPr>
        <w:spacing w:after="0" w:line="240" w:lineRule="auto"/>
        <w:jc w:val="center"/>
        <w:rPr>
          <w:rFonts w:ascii="Calibri" w:eastAsia="Times New Roman" w:hAnsi="Calibri" w:cs="Calibri"/>
          <w:b/>
          <w:bCs/>
          <w:color w:val="4F81BD"/>
          <w:lang w:eastAsia="es-EC"/>
        </w:rPr>
      </w:pPr>
      <w:r w:rsidRPr="00EC6A4E">
        <w:rPr>
          <w:rFonts w:ascii="Calibri" w:eastAsia="Times New Roman" w:hAnsi="Calibri" w:cs="Calibri"/>
          <w:b/>
          <w:bCs/>
          <w:noProof/>
          <w:color w:val="4F81BD"/>
          <w:lang w:eastAsia="es-EC"/>
        </w:rPr>
        <w:drawing>
          <wp:inline distT="0" distB="0" distL="0" distR="0">
            <wp:extent cx="3924300" cy="2962275"/>
            <wp:effectExtent l="19050" t="0" r="19050" b="0"/>
            <wp:docPr id="96" name="Gráfico 9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6D5EB6" w:rsidRDefault="006D5EB6" w:rsidP="006D5EB6">
      <w:pPr>
        <w:spacing w:after="0" w:line="240" w:lineRule="auto"/>
        <w:jc w:val="center"/>
        <w:rPr>
          <w:rFonts w:ascii="Calibri" w:eastAsia="Times New Roman" w:hAnsi="Calibri" w:cs="Calibri"/>
          <w:b/>
          <w:bCs/>
          <w:color w:val="4F81BD"/>
          <w:lang w:eastAsia="es-EC"/>
        </w:rPr>
      </w:pPr>
    </w:p>
    <w:p w:rsidR="006D5EB6" w:rsidRDefault="006D5EB6" w:rsidP="006D5EB6">
      <w:pPr>
        <w:spacing w:after="0" w:line="240" w:lineRule="auto"/>
        <w:jc w:val="center"/>
        <w:rPr>
          <w:rFonts w:ascii="Calibri" w:eastAsia="Times New Roman" w:hAnsi="Calibri" w:cs="Calibri"/>
          <w:b/>
          <w:bCs/>
          <w:color w:val="4F81BD"/>
          <w:lang w:eastAsia="es-EC"/>
        </w:rPr>
      </w:pPr>
    </w:p>
    <w:p w:rsidR="006D5EB6" w:rsidRDefault="006D5EB6" w:rsidP="006D5EB6">
      <w:pPr>
        <w:spacing w:after="0" w:line="240" w:lineRule="auto"/>
        <w:jc w:val="center"/>
        <w:rPr>
          <w:rFonts w:ascii="Calibri" w:eastAsia="Times New Roman" w:hAnsi="Calibri" w:cs="Calibri"/>
          <w:b/>
          <w:bCs/>
          <w:color w:val="4F81BD"/>
          <w:lang w:eastAsia="es-EC"/>
        </w:rPr>
      </w:pPr>
    </w:p>
    <w:p w:rsidR="006D5EB6" w:rsidRDefault="006D5EB6" w:rsidP="006D5EB6">
      <w:pPr>
        <w:spacing w:after="0" w:line="240" w:lineRule="auto"/>
        <w:jc w:val="center"/>
        <w:rPr>
          <w:rFonts w:ascii="Calibri" w:eastAsia="Times New Roman" w:hAnsi="Calibri" w:cs="Calibri"/>
          <w:b/>
          <w:bCs/>
          <w:color w:val="4F81BD"/>
          <w:lang w:eastAsia="es-EC"/>
        </w:rPr>
      </w:pPr>
    </w:p>
    <w:p w:rsidR="006D5EB6" w:rsidRDefault="006D5EB6" w:rsidP="006D5EB6">
      <w:pPr>
        <w:spacing w:after="0" w:line="240" w:lineRule="auto"/>
        <w:jc w:val="center"/>
        <w:rPr>
          <w:rFonts w:ascii="Calibri" w:eastAsia="Times New Roman" w:hAnsi="Calibri" w:cs="Calibri"/>
          <w:b/>
          <w:bCs/>
          <w:color w:val="4F81BD"/>
          <w:lang w:eastAsia="es-EC"/>
        </w:rPr>
      </w:pPr>
    </w:p>
    <w:p w:rsidR="006D5EB6" w:rsidRDefault="006D5EB6" w:rsidP="006D5EB6">
      <w:pPr>
        <w:spacing w:after="0" w:line="240" w:lineRule="auto"/>
        <w:jc w:val="center"/>
        <w:rPr>
          <w:rFonts w:ascii="Calibri" w:eastAsia="Times New Roman" w:hAnsi="Calibri" w:cs="Calibri"/>
          <w:b/>
          <w:bCs/>
          <w:color w:val="4F81BD"/>
          <w:lang w:eastAsia="es-EC"/>
        </w:rPr>
      </w:pPr>
    </w:p>
    <w:p w:rsidR="006D5EB6" w:rsidRDefault="006D5EB6" w:rsidP="006D5EB6">
      <w:pPr>
        <w:spacing w:after="0" w:line="240" w:lineRule="auto"/>
        <w:jc w:val="center"/>
        <w:rPr>
          <w:rFonts w:ascii="Calibri" w:eastAsia="Times New Roman" w:hAnsi="Calibri" w:cs="Calibri"/>
          <w:b/>
          <w:bCs/>
          <w:color w:val="4F81BD"/>
          <w:lang w:eastAsia="es-EC"/>
        </w:rPr>
      </w:pPr>
    </w:p>
    <w:p w:rsidR="006D5EB6" w:rsidRDefault="006D5EB6" w:rsidP="006D5EB6">
      <w:pPr>
        <w:spacing w:after="0" w:line="240" w:lineRule="auto"/>
        <w:jc w:val="center"/>
        <w:rPr>
          <w:rFonts w:ascii="Calibri" w:eastAsia="Times New Roman" w:hAnsi="Calibri" w:cs="Calibri"/>
          <w:b/>
          <w:bCs/>
          <w:lang w:eastAsia="es-EC"/>
        </w:rPr>
      </w:pPr>
    </w:p>
    <w:p w:rsidR="006D5EB6" w:rsidRDefault="006D5EB6" w:rsidP="006D5EB6">
      <w:pPr>
        <w:spacing w:after="0" w:line="240" w:lineRule="auto"/>
        <w:jc w:val="center"/>
        <w:rPr>
          <w:rFonts w:ascii="Calibri" w:eastAsia="Times New Roman" w:hAnsi="Calibri" w:cs="Calibri"/>
          <w:b/>
          <w:bCs/>
          <w:lang w:eastAsia="es-EC"/>
        </w:rPr>
      </w:pPr>
    </w:p>
    <w:p w:rsidR="006D5EB6" w:rsidRPr="000B29B0" w:rsidRDefault="006D5EB6" w:rsidP="006D5EB6">
      <w:pPr>
        <w:spacing w:after="0" w:line="240" w:lineRule="auto"/>
        <w:jc w:val="center"/>
        <w:rPr>
          <w:rFonts w:ascii="Calibri" w:eastAsia="Times New Roman" w:hAnsi="Calibri" w:cs="Calibri"/>
          <w:b/>
          <w:bCs/>
          <w:lang w:eastAsia="es-EC"/>
        </w:rPr>
      </w:pPr>
      <w:r w:rsidRPr="00F86DB2">
        <w:rPr>
          <w:rFonts w:ascii="Calibri" w:eastAsia="Times New Roman" w:hAnsi="Calibri" w:cs="Calibri"/>
          <w:b/>
          <w:bCs/>
          <w:lang w:eastAsia="es-EC"/>
        </w:rPr>
        <w:lastRenderedPageBreak/>
        <w:t>ESTRUCTURA FINANCIERA</w:t>
      </w:r>
      <w:r>
        <w:rPr>
          <w:rFonts w:ascii="Calibri" w:eastAsia="Times New Roman" w:hAnsi="Calibri" w:cs="Calibri"/>
          <w:b/>
          <w:bCs/>
          <w:lang w:eastAsia="es-EC"/>
        </w:rPr>
        <w:t xml:space="preserve"> - </w:t>
      </w:r>
      <w:r w:rsidRPr="00F86DB2">
        <w:rPr>
          <w:rFonts w:ascii="Calibri" w:eastAsia="Times New Roman" w:hAnsi="Calibri" w:cs="Calibri"/>
          <w:b/>
          <w:bCs/>
          <w:color w:val="4F81BD"/>
          <w:lang w:eastAsia="es-EC"/>
        </w:rPr>
        <w:t>Método Horizontal</w:t>
      </w:r>
    </w:p>
    <w:p w:rsidR="006D5EB6" w:rsidRDefault="006D5EB6" w:rsidP="006D5EB6">
      <w:pPr>
        <w:spacing w:after="0" w:line="240" w:lineRule="auto"/>
        <w:jc w:val="center"/>
        <w:rPr>
          <w:rFonts w:ascii="Calibri" w:eastAsia="Times New Roman" w:hAnsi="Calibri" w:cs="Calibri"/>
          <w:b/>
          <w:bCs/>
          <w:color w:val="4F81BD"/>
          <w:lang w:eastAsia="es-EC"/>
        </w:rPr>
      </w:pPr>
    </w:p>
    <w:tbl>
      <w:tblPr>
        <w:tblW w:w="3300" w:type="dxa"/>
        <w:jc w:val="center"/>
        <w:tblInd w:w="60" w:type="dxa"/>
        <w:tblCellMar>
          <w:left w:w="70" w:type="dxa"/>
          <w:right w:w="70" w:type="dxa"/>
        </w:tblCellMar>
        <w:tblLook w:val="04A0"/>
      </w:tblPr>
      <w:tblGrid>
        <w:gridCol w:w="2100"/>
        <w:gridCol w:w="1200"/>
      </w:tblGrid>
      <w:tr w:rsidR="006D5EB6" w:rsidRPr="00F86DB2" w:rsidTr="006D5EB6">
        <w:trPr>
          <w:trHeight w:val="315"/>
          <w:jc w:val="center"/>
        </w:trPr>
        <w:tc>
          <w:tcPr>
            <w:tcW w:w="2100" w:type="dxa"/>
            <w:tcBorders>
              <w:top w:val="single" w:sz="8" w:space="0" w:color="666699"/>
              <w:left w:val="single" w:sz="8" w:space="0" w:color="666699"/>
              <w:bottom w:val="single" w:sz="8" w:space="0" w:color="666699"/>
              <w:right w:val="single" w:sz="8" w:space="0" w:color="666699"/>
            </w:tcBorders>
            <w:shd w:val="clear" w:color="auto" w:fill="auto"/>
            <w:noWrap/>
            <w:vAlign w:val="bottom"/>
            <w:hideMark/>
          </w:tcPr>
          <w:p w:rsidR="006D5EB6" w:rsidRPr="00F86DB2" w:rsidRDefault="006D5EB6" w:rsidP="006D5EB6">
            <w:pPr>
              <w:spacing w:after="0" w:line="240" w:lineRule="auto"/>
              <w:jc w:val="center"/>
              <w:rPr>
                <w:rFonts w:ascii="Calibri" w:eastAsia="Times New Roman" w:hAnsi="Calibri" w:cs="Calibri"/>
                <w:b/>
                <w:bCs/>
                <w:color w:val="9966FF"/>
                <w:lang w:eastAsia="es-EC"/>
              </w:rPr>
            </w:pPr>
            <w:r w:rsidRPr="00F86DB2">
              <w:rPr>
                <w:rFonts w:ascii="Calibri" w:eastAsia="Times New Roman" w:hAnsi="Calibri" w:cs="Calibri"/>
                <w:b/>
                <w:bCs/>
                <w:color w:val="9966FF"/>
                <w:lang w:eastAsia="es-EC"/>
              </w:rPr>
              <w:t>RUBROS</w:t>
            </w:r>
          </w:p>
        </w:tc>
        <w:tc>
          <w:tcPr>
            <w:tcW w:w="1200" w:type="dxa"/>
            <w:tcBorders>
              <w:top w:val="single" w:sz="8" w:space="0" w:color="666699"/>
              <w:left w:val="nil"/>
              <w:bottom w:val="single" w:sz="8" w:space="0" w:color="666699"/>
              <w:right w:val="single" w:sz="8" w:space="0" w:color="666699"/>
            </w:tcBorders>
            <w:shd w:val="clear" w:color="auto" w:fill="auto"/>
            <w:noWrap/>
            <w:vAlign w:val="bottom"/>
            <w:hideMark/>
          </w:tcPr>
          <w:p w:rsidR="006D5EB6" w:rsidRPr="00F86DB2" w:rsidRDefault="006D5EB6" w:rsidP="006D5EB6">
            <w:pPr>
              <w:spacing w:after="0" w:line="240" w:lineRule="auto"/>
              <w:jc w:val="center"/>
              <w:rPr>
                <w:rFonts w:ascii="Calibri" w:eastAsia="Times New Roman" w:hAnsi="Calibri" w:cs="Calibri"/>
                <w:b/>
                <w:bCs/>
                <w:color w:val="9966FF"/>
                <w:lang w:eastAsia="es-EC"/>
              </w:rPr>
            </w:pPr>
            <w:r w:rsidRPr="00F86DB2">
              <w:rPr>
                <w:rFonts w:ascii="Calibri" w:eastAsia="Times New Roman" w:hAnsi="Calibri" w:cs="Calibri"/>
                <w:b/>
                <w:bCs/>
                <w:color w:val="9966FF"/>
                <w:lang w:eastAsia="es-EC"/>
              </w:rPr>
              <w:t>%</w:t>
            </w:r>
          </w:p>
        </w:tc>
      </w:tr>
      <w:tr w:rsidR="006D5EB6" w:rsidRPr="00F86DB2" w:rsidTr="006D5EB6">
        <w:trPr>
          <w:trHeight w:val="300"/>
          <w:jc w:val="center"/>
        </w:trPr>
        <w:tc>
          <w:tcPr>
            <w:tcW w:w="2100" w:type="dxa"/>
            <w:tcBorders>
              <w:top w:val="nil"/>
              <w:left w:val="single" w:sz="8" w:space="0" w:color="666699"/>
              <w:bottom w:val="single" w:sz="4" w:space="0" w:color="666699"/>
              <w:right w:val="single" w:sz="8" w:space="0" w:color="666699"/>
            </w:tcBorders>
            <w:shd w:val="clear" w:color="auto" w:fill="auto"/>
            <w:noWrap/>
            <w:vAlign w:val="bottom"/>
            <w:hideMark/>
          </w:tcPr>
          <w:p w:rsidR="006D5EB6" w:rsidRPr="00F86DB2" w:rsidRDefault="006D5EB6" w:rsidP="006D5EB6">
            <w:pPr>
              <w:spacing w:after="0" w:line="240" w:lineRule="auto"/>
              <w:rPr>
                <w:rFonts w:ascii="Calibri" w:eastAsia="Times New Roman" w:hAnsi="Calibri" w:cs="Calibri"/>
                <w:color w:val="000000"/>
                <w:lang w:eastAsia="es-EC"/>
              </w:rPr>
            </w:pPr>
            <w:r w:rsidRPr="00F86DB2">
              <w:rPr>
                <w:rFonts w:ascii="Calibri" w:eastAsia="Times New Roman" w:hAnsi="Calibri" w:cs="Calibri"/>
                <w:color w:val="000000"/>
                <w:lang w:eastAsia="es-EC"/>
              </w:rPr>
              <w:t>Capital Social</w:t>
            </w:r>
          </w:p>
        </w:tc>
        <w:tc>
          <w:tcPr>
            <w:tcW w:w="1200" w:type="dxa"/>
            <w:tcBorders>
              <w:top w:val="nil"/>
              <w:left w:val="nil"/>
              <w:bottom w:val="single" w:sz="4" w:space="0" w:color="666699"/>
              <w:right w:val="single" w:sz="8" w:space="0" w:color="666699"/>
            </w:tcBorders>
            <w:shd w:val="clear" w:color="auto" w:fill="auto"/>
            <w:noWrap/>
            <w:vAlign w:val="bottom"/>
            <w:hideMark/>
          </w:tcPr>
          <w:p w:rsidR="006D5EB6" w:rsidRPr="00F86DB2" w:rsidRDefault="006D5EB6" w:rsidP="006D5EB6">
            <w:pPr>
              <w:spacing w:after="0" w:line="240" w:lineRule="auto"/>
              <w:jc w:val="right"/>
              <w:rPr>
                <w:rFonts w:ascii="Calibri" w:eastAsia="Times New Roman" w:hAnsi="Calibri" w:cs="Calibri"/>
                <w:color w:val="000000"/>
                <w:lang w:eastAsia="es-EC"/>
              </w:rPr>
            </w:pPr>
            <w:r w:rsidRPr="00F86DB2">
              <w:rPr>
                <w:rFonts w:ascii="Calibri" w:eastAsia="Times New Roman" w:hAnsi="Calibri" w:cs="Calibri"/>
                <w:color w:val="000000"/>
                <w:lang w:eastAsia="es-EC"/>
              </w:rPr>
              <w:t>44,38</w:t>
            </w:r>
          </w:p>
        </w:tc>
      </w:tr>
      <w:tr w:rsidR="006D5EB6" w:rsidRPr="00F86DB2" w:rsidTr="006D5EB6">
        <w:trPr>
          <w:trHeight w:val="300"/>
          <w:jc w:val="center"/>
        </w:trPr>
        <w:tc>
          <w:tcPr>
            <w:tcW w:w="2100" w:type="dxa"/>
            <w:tcBorders>
              <w:top w:val="nil"/>
              <w:left w:val="single" w:sz="8" w:space="0" w:color="666699"/>
              <w:bottom w:val="single" w:sz="4" w:space="0" w:color="666699"/>
              <w:right w:val="single" w:sz="8" w:space="0" w:color="666699"/>
            </w:tcBorders>
            <w:shd w:val="clear" w:color="auto" w:fill="auto"/>
            <w:noWrap/>
            <w:vAlign w:val="bottom"/>
            <w:hideMark/>
          </w:tcPr>
          <w:p w:rsidR="006D5EB6" w:rsidRPr="00F86DB2" w:rsidRDefault="006D5EB6" w:rsidP="006D5EB6">
            <w:pPr>
              <w:spacing w:after="0" w:line="240" w:lineRule="auto"/>
              <w:rPr>
                <w:rFonts w:ascii="Calibri" w:eastAsia="Times New Roman" w:hAnsi="Calibri" w:cs="Calibri"/>
                <w:color w:val="000000"/>
                <w:lang w:eastAsia="es-EC"/>
              </w:rPr>
            </w:pPr>
            <w:r w:rsidRPr="00F86DB2">
              <w:rPr>
                <w:rFonts w:ascii="Calibri" w:eastAsia="Times New Roman" w:hAnsi="Calibri" w:cs="Calibri"/>
                <w:color w:val="000000"/>
                <w:lang w:eastAsia="es-EC"/>
              </w:rPr>
              <w:t>Reservas Legales</w:t>
            </w:r>
          </w:p>
        </w:tc>
        <w:tc>
          <w:tcPr>
            <w:tcW w:w="1200" w:type="dxa"/>
            <w:tcBorders>
              <w:top w:val="nil"/>
              <w:left w:val="nil"/>
              <w:bottom w:val="single" w:sz="4" w:space="0" w:color="666699"/>
              <w:right w:val="single" w:sz="8" w:space="0" w:color="666699"/>
            </w:tcBorders>
            <w:shd w:val="clear" w:color="auto" w:fill="auto"/>
            <w:noWrap/>
            <w:vAlign w:val="bottom"/>
            <w:hideMark/>
          </w:tcPr>
          <w:p w:rsidR="006D5EB6" w:rsidRPr="00F86DB2" w:rsidRDefault="006D5EB6" w:rsidP="006D5EB6">
            <w:pPr>
              <w:spacing w:after="0" w:line="240" w:lineRule="auto"/>
              <w:jc w:val="right"/>
              <w:rPr>
                <w:rFonts w:ascii="Calibri" w:eastAsia="Times New Roman" w:hAnsi="Calibri" w:cs="Calibri"/>
                <w:color w:val="000000"/>
                <w:lang w:eastAsia="es-EC"/>
              </w:rPr>
            </w:pPr>
            <w:r w:rsidRPr="00F86DB2">
              <w:rPr>
                <w:rFonts w:ascii="Calibri" w:eastAsia="Times New Roman" w:hAnsi="Calibri" w:cs="Calibri"/>
                <w:color w:val="000000"/>
                <w:lang w:eastAsia="es-EC"/>
              </w:rPr>
              <w:t>52,69</w:t>
            </w:r>
          </w:p>
        </w:tc>
      </w:tr>
      <w:tr w:rsidR="006D5EB6" w:rsidRPr="00F86DB2" w:rsidTr="006D5EB6">
        <w:trPr>
          <w:trHeight w:val="300"/>
          <w:jc w:val="center"/>
        </w:trPr>
        <w:tc>
          <w:tcPr>
            <w:tcW w:w="2100" w:type="dxa"/>
            <w:tcBorders>
              <w:top w:val="nil"/>
              <w:left w:val="single" w:sz="8" w:space="0" w:color="666699"/>
              <w:bottom w:val="single" w:sz="4" w:space="0" w:color="666699"/>
              <w:right w:val="single" w:sz="8" w:space="0" w:color="666699"/>
            </w:tcBorders>
            <w:shd w:val="clear" w:color="auto" w:fill="auto"/>
            <w:noWrap/>
            <w:vAlign w:val="bottom"/>
            <w:hideMark/>
          </w:tcPr>
          <w:p w:rsidR="006D5EB6" w:rsidRPr="00F86DB2" w:rsidRDefault="006D5EB6" w:rsidP="006D5EB6">
            <w:pPr>
              <w:spacing w:after="0" w:line="240" w:lineRule="auto"/>
              <w:rPr>
                <w:rFonts w:ascii="Calibri" w:eastAsia="Times New Roman" w:hAnsi="Calibri" w:cs="Calibri"/>
                <w:color w:val="000000"/>
                <w:lang w:eastAsia="es-EC"/>
              </w:rPr>
            </w:pPr>
            <w:r w:rsidRPr="00F86DB2">
              <w:rPr>
                <w:rFonts w:ascii="Calibri" w:eastAsia="Times New Roman" w:hAnsi="Calibri" w:cs="Calibri"/>
                <w:color w:val="000000"/>
                <w:lang w:eastAsia="es-EC"/>
              </w:rPr>
              <w:t>Reservas Facultativas</w:t>
            </w:r>
          </w:p>
        </w:tc>
        <w:tc>
          <w:tcPr>
            <w:tcW w:w="1200" w:type="dxa"/>
            <w:tcBorders>
              <w:top w:val="nil"/>
              <w:left w:val="nil"/>
              <w:bottom w:val="single" w:sz="4" w:space="0" w:color="666699"/>
              <w:right w:val="single" w:sz="8" w:space="0" w:color="666699"/>
            </w:tcBorders>
            <w:shd w:val="clear" w:color="auto" w:fill="auto"/>
            <w:noWrap/>
            <w:vAlign w:val="bottom"/>
            <w:hideMark/>
          </w:tcPr>
          <w:p w:rsidR="006D5EB6" w:rsidRPr="00F86DB2" w:rsidRDefault="006D5EB6" w:rsidP="006D5EB6">
            <w:pPr>
              <w:spacing w:after="0" w:line="240" w:lineRule="auto"/>
              <w:jc w:val="right"/>
              <w:rPr>
                <w:rFonts w:ascii="Calibri" w:eastAsia="Times New Roman" w:hAnsi="Calibri" w:cs="Calibri"/>
                <w:color w:val="000000"/>
                <w:lang w:eastAsia="es-EC"/>
              </w:rPr>
            </w:pPr>
            <w:r w:rsidRPr="00F86DB2">
              <w:rPr>
                <w:rFonts w:ascii="Calibri" w:eastAsia="Times New Roman" w:hAnsi="Calibri" w:cs="Calibri"/>
                <w:color w:val="000000"/>
                <w:lang w:eastAsia="es-EC"/>
              </w:rPr>
              <w:t>-100</w:t>
            </w:r>
          </w:p>
        </w:tc>
      </w:tr>
      <w:tr w:rsidR="006D5EB6" w:rsidRPr="00F86DB2" w:rsidTr="006D5EB6">
        <w:trPr>
          <w:trHeight w:val="300"/>
          <w:jc w:val="center"/>
        </w:trPr>
        <w:tc>
          <w:tcPr>
            <w:tcW w:w="2100" w:type="dxa"/>
            <w:tcBorders>
              <w:top w:val="nil"/>
              <w:left w:val="single" w:sz="8" w:space="0" w:color="666699"/>
              <w:bottom w:val="single" w:sz="4" w:space="0" w:color="666699"/>
              <w:right w:val="single" w:sz="8" w:space="0" w:color="666699"/>
            </w:tcBorders>
            <w:shd w:val="clear" w:color="auto" w:fill="auto"/>
            <w:noWrap/>
            <w:vAlign w:val="bottom"/>
            <w:hideMark/>
          </w:tcPr>
          <w:p w:rsidR="006D5EB6" w:rsidRPr="00F86DB2" w:rsidRDefault="006D5EB6" w:rsidP="006D5EB6">
            <w:pPr>
              <w:spacing w:after="0" w:line="240" w:lineRule="auto"/>
              <w:rPr>
                <w:rFonts w:ascii="Calibri" w:eastAsia="Times New Roman" w:hAnsi="Calibri" w:cs="Calibri"/>
                <w:color w:val="000000"/>
                <w:lang w:eastAsia="es-EC"/>
              </w:rPr>
            </w:pPr>
            <w:r w:rsidRPr="00F86DB2">
              <w:rPr>
                <w:rFonts w:ascii="Calibri" w:eastAsia="Times New Roman" w:hAnsi="Calibri" w:cs="Calibri"/>
                <w:color w:val="000000"/>
                <w:lang w:eastAsia="es-EC"/>
              </w:rPr>
              <w:t>Revalúo de Act. Fijos</w:t>
            </w:r>
          </w:p>
        </w:tc>
        <w:tc>
          <w:tcPr>
            <w:tcW w:w="1200" w:type="dxa"/>
            <w:tcBorders>
              <w:top w:val="nil"/>
              <w:left w:val="nil"/>
              <w:bottom w:val="single" w:sz="4" w:space="0" w:color="666699"/>
              <w:right w:val="single" w:sz="8" w:space="0" w:color="666699"/>
            </w:tcBorders>
            <w:shd w:val="clear" w:color="auto" w:fill="auto"/>
            <w:noWrap/>
            <w:vAlign w:val="bottom"/>
            <w:hideMark/>
          </w:tcPr>
          <w:p w:rsidR="006D5EB6" w:rsidRPr="00F86DB2" w:rsidRDefault="006D5EB6" w:rsidP="006D5EB6">
            <w:pPr>
              <w:spacing w:after="0" w:line="240" w:lineRule="auto"/>
              <w:jc w:val="right"/>
              <w:rPr>
                <w:rFonts w:ascii="Calibri" w:eastAsia="Times New Roman" w:hAnsi="Calibri" w:cs="Calibri"/>
                <w:color w:val="000000"/>
                <w:lang w:eastAsia="es-EC"/>
              </w:rPr>
            </w:pPr>
            <w:r w:rsidRPr="00F86DB2">
              <w:rPr>
                <w:rFonts w:ascii="Calibri" w:eastAsia="Times New Roman" w:hAnsi="Calibri" w:cs="Calibri"/>
                <w:color w:val="000000"/>
                <w:lang w:eastAsia="es-EC"/>
              </w:rPr>
              <w:t>-100</w:t>
            </w:r>
          </w:p>
        </w:tc>
      </w:tr>
      <w:tr w:rsidR="006D5EB6" w:rsidRPr="00F86DB2" w:rsidTr="006D5EB6">
        <w:trPr>
          <w:trHeight w:val="315"/>
          <w:jc w:val="center"/>
        </w:trPr>
        <w:tc>
          <w:tcPr>
            <w:tcW w:w="2100" w:type="dxa"/>
            <w:tcBorders>
              <w:top w:val="nil"/>
              <w:left w:val="single" w:sz="8" w:space="0" w:color="666699"/>
              <w:bottom w:val="single" w:sz="8" w:space="0" w:color="666699"/>
              <w:right w:val="single" w:sz="8" w:space="0" w:color="666699"/>
            </w:tcBorders>
            <w:shd w:val="clear" w:color="auto" w:fill="auto"/>
            <w:noWrap/>
            <w:vAlign w:val="bottom"/>
            <w:hideMark/>
          </w:tcPr>
          <w:p w:rsidR="006D5EB6" w:rsidRPr="00F86DB2" w:rsidRDefault="006D5EB6" w:rsidP="006D5EB6">
            <w:pPr>
              <w:spacing w:after="0" w:line="240" w:lineRule="auto"/>
              <w:rPr>
                <w:rFonts w:ascii="Calibri" w:eastAsia="Times New Roman" w:hAnsi="Calibri" w:cs="Calibri"/>
                <w:color w:val="000000"/>
                <w:lang w:eastAsia="es-EC"/>
              </w:rPr>
            </w:pPr>
            <w:r w:rsidRPr="00F86DB2">
              <w:rPr>
                <w:rFonts w:ascii="Calibri" w:eastAsia="Times New Roman" w:hAnsi="Calibri" w:cs="Calibri"/>
                <w:color w:val="000000"/>
                <w:lang w:eastAsia="es-EC"/>
              </w:rPr>
              <w:t>Utilidad del Ejercicio</w:t>
            </w:r>
          </w:p>
        </w:tc>
        <w:tc>
          <w:tcPr>
            <w:tcW w:w="1200" w:type="dxa"/>
            <w:tcBorders>
              <w:top w:val="nil"/>
              <w:left w:val="nil"/>
              <w:bottom w:val="single" w:sz="8" w:space="0" w:color="666699"/>
              <w:right w:val="single" w:sz="8" w:space="0" w:color="666699"/>
            </w:tcBorders>
            <w:shd w:val="clear" w:color="auto" w:fill="auto"/>
            <w:noWrap/>
            <w:vAlign w:val="bottom"/>
            <w:hideMark/>
          </w:tcPr>
          <w:p w:rsidR="006D5EB6" w:rsidRPr="00F86DB2" w:rsidRDefault="006D5EB6" w:rsidP="006D5EB6">
            <w:pPr>
              <w:spacing w:after="0" w:line="240" w:lineRule="auto"/>
              <w:jc w:val="right"/>
              <w:rPr>
                <w:rFonts w:ascii="Calibri" w:eastAsia="Times New Roman" w:hAnsi="Calibri" w:cs="Calibri"/>
                <w:color w:val="000000"/>
                <w:lang w:eastAsia="es-EC"/>
              </w:rPr>
            </w:pPr>
            <w:r w:rsidRPr="00F86DB2">
              <w:rPr>
                <w:rFonts w:ascii="Calibri" w:eastAsia="Times New Roman" w:hAnsi="Calibri" w:cs="Calibri"/>
                <w:color w:val="000000"/>
                <w:lang w:eastAsia="es-EC"/>
              </w:rPr>
              <w:t>47,93</w:t>
            </w:r>
          </w:p>
        </w:tc>
      </w:tr>
    </w:tbl>
    <w:p w:rsidR="006D5EB6" w:rsidRDefault="006D5EB6" w:rsidP="006D5EB6">
      <w:pPr>
        <w:spacing w:after="0" w:line="240" w:lineRule="auto"/>
        <w:jc w:val="center"/>
        <w:rPr>
          <w:rFonts w:ascii="Calibri" w:eastAsia="Times New Roman" w:hAnsi="Calibri" w:cs="Calibri"/>
          <w:b/>
          <w:bCs/>
          <w:color w:val="4F81BD"/>
          <w:lang w:eastAsia="es-EC"/>
        </w:rPr>
      </w:pPr>
    </w:p>
    <w:p w:rsidR="006D5EB6" w:rsidRDefault="006D5EB6" w:rsidP="006D5EB6">
      <w:pPr>
        <w:spacing w:after="0" w:line="240" w:lineRule="auto"/>
        <w:jc w:val="center"/>
        <w:rPr>
          <w:rFonts w:ascii="Calibri" w:eastAsia="Times New Roman" w:hAnsi="Calibri" w:cs="Calibri"/>
          <w:b/>
          <w:bCs/>
          <w:color w:val="4F81BD"/>
          <w:lang w:eastAsia="es-EC"/>
        </w:rPr>
      </w:pPr>
    </w:p>
    <w:p w:rsidR="006D5EB6" w:rsidRDefault="006D5EB6" w:rsidP="006D5EB6">
      <w:pPr>
        <w:spacing w:after="0" w:line="240" w:lineRule="auto"/>
        <w:jc w:val="center"/>
        <w:rPr>
          <w:rFonts w:ascii="Calibri" w:eastAsia="Times New Roman" w:hAnsi="Calibri" w:cs="Calibri"/>
          <w:b/>
          <w:bCs/>
          <w:color w:val="4F81BD"/>
          <w:lang w:eastAsia="es-EC"/>
        </w:rPr>
      </w:pPr>
      <w:r w:rsidRPr="00F86DB2">
        <w:rPr>
          <w:rFonts w:ascii="Calibri" w:eastAsia="Times New Roman" w:hAnsi="Calibri" w:cs="Calibri"/>
          <w:b/>
          <w:bCs/>
          <w:noProof/>
          <w:color w:val="4F81BD"/>
          <w:lang w:eastAsia="es-EC"/>
        </w:rPr>
        <w:drawing>
          <wp:inline distT="0" distB="0" distL="0" distR="0">
            <wp:extent cx="4572000" cy="2743200"/>
            <wp:effectExtent l="19050" t="0" r="19050" b="0"/>
            <wp:docPr id="31" name="Gráfico 9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6D5EB6" w:rsidRDefault="006D5EB6" w:rsidP="006D5EB6">
      <w:pPr>
        <w:spacing w:after="0" w:line="240" w:lineRule="auto"/>
        <w:jc w:val="center"/>
        <w:rPr>
          <w:rFonts w:ascii="Calibri" w:eastAsia="Times New Roman" w:hAnsi="Calibri" w:cs="Calibri"/>
          <w:b/>
          <w:bCs/>
          <w:color w:val="4F81BD"/>
          <w:lang w:eastAsia="es-EC"/>
        </w:rPr>
      </w:pPr>
    </w:p>
    <w:p w:rsidR="006D5EB6" w:rsidRDefault="006D5EB6" w:rsidP="006D5EB6">
      <w:pPr>
        <w:spacing w:after="0" w:line="240" w:lineRule="auto"/>
        <w:jc w:val="center"/>
        <w:rPr>
          <w:rFonts w:ascii="Calibri" w:eastAsia="Times New Roman" w:hAnsi="Calibri" w:cs="Calibri"/>
          <w:b/>
          <w:bCs/>
          <w:color w:val="4F81BD"/>
          <w:lang w:eastAsia="es-EC"/>
        </w:rPr>
      </w:pPr>
    </w:p>
    <w:p w:rsidR="006D5EB6" w:rsidRDefault="006D5EB6" w:rsidP="006D5EB6">
      <w:pPr>
        <w:spacing w:after="0" w:line="240" w:lineRule="auto"/>
        <w:jc w:val="center"/>
        <w:rPr>
          <w:rFonts w:ascii="Calibri" w:eastAsia="Times New Roman" w:hAnsi="Calibri" w:cs="Calibri"/>
          <w:b/>
          <w:bCs/>
          <w:color w:val="4F81BD"/>
          <w:lang w:eastAsia="es-EC"/>
        </w:rPr>
      </w:pPr>
    </w:p>
    <w:p w:rsidR="006D5EB6" w:rsidRDefault="006D5EB6" w:rsidP="006D5EB6">
      <w:pPr>
        <w:spacing w:after="0" w:line="240" w:lineRule="auto"/>
        <w:jc w:val="center"/>
        <w:rPr>
          <w:rFonts w:ascii="Calibri" w:eastAsia="Times New Roman" w:hAnsi="Calibri" w:cs="Calibri"/>
          <w:b/>
          <w:bCs/>
          <w:color w:val="4F81BD"/>
          <w:lang w:eastAsia="es-EC"/>
        </w:rPr>
      </w:pPr>
    </w:p>
    <w:p w:rsidR="006D5EB6" w:rsidRDefault="006D5EB6" w:rsidP="006D5EB6">
      <w:pPr>
        <w:spacing w:after="0" w:line="240" w:lineRule="auto"/>
        <w:jc w:val="center"/>
        <w:rPr>
          <w:rFonts w:ascii="Calibri" w:eastAsia="Times New Roman" w:hAnsi="Calibri" w:cs="Calibri"/>
          <w:b/>
          <w:bCs/>
          <w:color w:val="4F81BD"/>
          <w:lang w:eastAsia="es-EC"/>
        </w:rPr>
      </w:pPr>
    </w:p>
    <w:p w:rsidR="006D5EB6" w:rsidRDefault="006D5EB6" w:rsidP="006D5EB6">
      <w:pPr>
        <w:spacing w:after="0" w:line="240" w:lineRule="auto"/>
        <w:jc w:val="center"/>
        <w:rPr>
          <w:rFonts w:ascii="Calibri" w:eastAsia="Times New Roman" w:hAnsi="Calibri" w:cs="Calibri"/>
          <w:b/>
          <w:bCs/>
          <w:color w:val="4F81BD"/>
          <w:lang w:eastAsia="es-EC"/>
        </w:rPr>
      </w:pPr>
    </w:p>
    <w:p w:rsidR="006D5EB6" w:rsidRDefault="006D5EB6" w:rsidP="006D5EB6">
      <w:pPr>
        <w:spacing w:after="0" w:line="240" w:lineRule="auto"/>
        <w:jc w:val="center"/>
        <w:rPr>
          <w:rFonts w:ascii="Calibri" w:eastAsia="Times New Roman" w:hAnsi="Calibri" w:cs="Calibri"/>
          <w:b/>
          <w:bCs/>
          <w:color w:val="4F81BD"/>
          <w:lang w:eastAsia="es-EC"/>
        </w:rPr>
      </w:pPr>
    </w:p>
    <w:p w:rsidR="006D5EB6" w:rsidRDefault="006D5EB6" w:rsidP="006D5EB6">
      <w:pPr>
        <w:spacing w:after="0" w:line="240" w:lineRule="auto"/>
        <w:jc w:val="center"/>
        <w:rPr>
          <w:rFonts w:ascii="Calibri" w:eastAsia="Times New Roman" w:hAnsi="Calibri" w:cs="Calibri"/>
          <w:b/>
          <w:bCs/>
          <w:color w:val="4F81BD"/>
          <w:lang w:eastAsia="es-EC"/>
        </w:rPr>
        <w:sectPr w:rsidR="006D5EB6" w:rsidSect="006D5EB6">
          <w:pgSz w:w="12240" w:h="15840"/>
          <w:pgMar w:top="1418" w:right="1701" w:bottom="1418" w:left="1701" w:header="709" w:footer="709" w:gutter="0"/>
          <w:cols w:space="708"/>
          <w:docGrid w:linePitch="360"/>
        </w:sectPr>
      </w:pPr>
    </w:p>
    <w:tbl>
      <w:tblPr>
        <w:tblW w:w="6599" w:type="dxa"/>
        <w:tblInd w:w="70" w:type="dxa"/>
        <w:tblCellMar>
          <w:left w:w="70" w:type="dxa"/>
          <w:right w:w="70" w:type="dxa"/>
        </w:tblCellMar>
        <w:tblLook w:val="04A0"/>
      </w:tblPr>
      <w:tblGrid>
        <w:gridCol w:w="660"/>
        <w:gridCol w:w="660"/>
        <w:gridCol w:w="2561"/>
        <w:gridCol w:w="1210"/>
        <w:gridCol w:w="1508"/>
      </w:tblGrid>
      <w:tr w:rsidR="006D5EB6" w:rsidRPr="00F86DB2" w:rsidTr="006D5EB6">
        <w:trPr>
          <w:trHeight w:val="300"/>
        </w:trPr>
        <w:tc>
          <w:tcPr>
            <w:tcW w:w="5091" w:type="dxa"/>
            <w:gridSpan w:val="4"/>
            <w:tcBorders>
              <w:top w:val="nil"/>
              <w:left w:val="nil"/>
              <w:bottom w:val="nil"/>
              <w:right w:val="nil"/>
            </w:tcBorders>
            <w:shd w:val="clear" w:color="auto" w:fill="auto"/>
            <w:noWrap/>
            <w:vAlign w:val="bottom"/>
            <w:hideMark/>
          </w:tcPr>
          <w:p w:rsidR="006D5EB6" w:rsidRPr="00F86DB2" w:rsidRDefault="006D5EB6" w:rsidP="006D5EB6">
            <w:pPr>
              <w:spacing w:after="0" w:line="240" w:lineRule="auto"/>
              <w:jc w:val="center"/>
              <w:rPr>
                <w:rFonts w:ascii="Calibri" w:eastAsia="Times New Roman" w:hAnsi="Calibri" w:cs="Calibri"/>
                <w:color w:val="000000"/>
                <w:lang w:eastAsia="es-EC"/>
              </w:rPr>
            </w:pPr>
            <w:r w:rsidRPr="00F86DB2">
              <w:rPr>
                <w:rFonts w:ascii="Calibri" w:eastAsia="Times New Roman" w:hAnsi="Calibri" w:cs="Calibri"/>
                <w:color w:val="000000"/>
                <w:lang w:eastAsia="es-EC"/>
              </w:rPr>
              <w:lastRenderedPageBreak/>
              <w:t>COOPERATIVA DE TAXIS "RÁPIDO NACIONAL"</w:t>
            </w:r>
          </w:p>
        </w:tc>
        <w:tc>
          <w:tcPr>
            <w:tcW w:w="1508" w:type="dxa"/>
            <w:tcBorders>
              <w:top w:val="nil"/>
              <w:left w:val="nil"/>
              <w:bottom w:val="nil"/>
              <w:right w:val="nil"/>
            </w:tcBorders>
            <w:shd w:val="clear" w:color="auto" w:fill="auto"/>
            <w:noWrap/>
            <w:vAlign w:val="bottom"/>
            <w:hideMark/>
          </w:tcPr>
          <w:p w:rsidR="006D5EB6" w:rsidRPr="00F86DB2" w:rsidRDefault="006D5EB6" w:rsidP="006D5EB6">
            <w:pPr>
              <w:spacing w:after="0" w:line="240" w:lineRule="auto"/>
              <w:rPr>
                <w:rFonts w:ascii="Calibri" w:eastAsia="Times New Roman" w:hAnsi="Calibri" w:cs="Calibri"/>
                <w:color w:val="000000"/>
                <w:lang w:eastAsia="es-EC"/>
              </w:rPr>
            </w:pPr>
          </w:p>
        </w:tc>
      </w:tr>
      <w:tr w:rsidR="006D5EB6" w:rsidRPr="00F86DB2" w:rsidTr="006D5EB6">
        <w:trPr>
          <w:trHeight w:val="300"/>
        </w:trPr>
        <w:tc>
          <w:tcPr>
            <w:tcW w:w="5091" w:type="dxa"/>
            <w:gridSpan w:val="4"/>
            <w:tcBorders>
              <w:top w:val="nil"/>
              <w:left w:val="nil"/>
              <w:bottom w:val="nil"/>
              <w:right w:val="nil"/>
            </w:tcBorders>
            <w:shd w:val="clear" w:color="auto" w:fill="auto"/>
            <w:noWrap/>
            <w:vAlign w:val="bottom"/>
            <w:hideMark/>
          </w:tcPr>
          <w:p w:rsidR="006D5EB6" w:rsidRPr="00F86DB2" w:rsidRDefault="006D5EB6" w:rsidP="006D5EB6">
            <w:pPr>
              <w:spacing w:after="0" w:line="240" w:lineRule="auto"/>
              <w:jc w:val="center"/>
              <w:rPr>
                <w:rFonts w:ascii="Calibri" w:eastAsia="Times New Roman" w:hAnsi="Calibri" w:cs="Calibri"/>
                <w:color w:val="000000"/>
                <w:lang w:eastAsia="es-EC"/>
              </w:rPr>
            </w:pPr>
            <w:r w:rsidRPr="00F86DB2">
              <w:rPr>
                <w:rFonts w:ascii="Calibri" w:eastAsia="Times New Roman" w:hAnsi="Calibri" w:cs="Calibri"/>
                <w:color w:val="000000"/>
                <w:lang w:eastAsia="es-EC"/>
              </w:rPr>
              <w:t>AYACUCHO 276 Y OLMEDO</w:t>
            </w:r>
          </w:p>
        </w:tc>
        <w:tc>
          <w:tcPr>
            <w:tcW w:w="1508" w:type="dxa"/>
            <w:tcBorders>
              <w:top w:val="nil"/>
              <w:left w:val="nil"/>
              <w:bottom w:val="nil"/>
              <w:right w:val="nil"/>
            </w:tcBorders>
            <w:shd w:val="clear" w:color="auto" w:fill="auto"/>
            <w:noWrap/>
            <w:vAlign w:val="bottom"/>
            <w:hideMark/>
          </w:tcPr>
          <w:p w:rsidR="006D5EB6" w:rsidRPr="00F86DB2" w:rsidRDefault="006D5EB6" w:rsidP="006D5EB6">
            <w:pPr>
              <w:spacing w:after="0" w:line="240" w:lineRule="auto"/>
              <w:rPr>
                <w:rFonts w:ascii="Calibri" w:eastAsia="Times New Roman" w:hAnsi="Calibri" w:cs="Calibri"/>
                <w:color w:val="000000"/>
                <w:lang w:eastAsia="es-EC"/>
              </w:rPr>
            </w:pPr>
          </w:p>
        </w:tc>
      </w:tr>
      <w:tr w:rsidR="006D5EB6" w:rsidRPr="00F86DB2" w:rsidTr="006D5EB6">
        <w:trPr>
          <w:trHeight w:val="300"/>
        </w:trPr>
        <w:tc>
          <w:tcPr>
            <w:tcW w:w="5091" w:type="dxa"/>
            <w:gridSpan w:val="4"/>
            <w:tcBorders>
              <w:top w:val="nil"/>
              <w:left w:val="nil"/>
              <w:bottom w:val="nil"/>
              <w:right w:val="nil"/>
            </w:tcBorders>
            <w:shd w:val="clear" w:color="auto" w:fill="auto"/>
            <w:noWrap/>
            <w:vAlign w:val="bottom"/>
            <w:hideMark/>
          </w:tcPr>
          <w:p w:rsidR="006D5EB6" w:rsidRPr="00F86DB2" w:rsidRDefault="006D5EB6" w:rsidP="006D5EB6">
            <w:pPr>
              <w:spacing w:after="0" w:line="240" w:lineRule="auto"/>
              <w:jc w:val="center"/>
              <w:rPr>
                <w:rFonts w:ascii="Calibri" w:eastAsia="Times New Roman" w:hAnsi="Calibri" w:cs="Calibri"/>
                <w:color w:val="000000"/>
                <w:lang w:eastAsia="es-EC"/>
              </w:rPr>
            </w:pPr>
            <w:r w:rsidRPr="00F86DB2">
              <w:rPr>
                <w:rFonts w:ascii="Calibri" w:eastAsia="Times New Roman" w:hAnsi="Calibri" w:cs="Calibri"/>
                <w:color w:val="000000"/>
                <w:lang w:eastAsia="es-EC"/>
              </w:rPr>
              <w:t>ESTADO DE RESULTADOS</w:t>
            </w:r>
          </w:p>
        </w:tc>
        <w:tc>
          <w:tcPr>
            <w:tcW w:w="1508" w:type="dxa"/>
            <w:tcBorders>
              <w:top w:val="nil"/>
              <w:left w:val="nil"/>
              <w:bottom w:val="nil"/>
              <w:right w:val="nil"/>
            </w:tcBorders>
            <w:shd w:val="clear" w:color="auto" w:fill="auto"/>
            <w:noWrap/>
            <w:vAlign w:val="bottom"/>
            <w:hideMark/>
          </w:tcPr>
          <w:p w:rsidR="006D5EB6" w:rsidRPr="00F86DB2" w:rsidRDefault="006D5EB6" w:rsidP="006D5EB6">
            <w:pPr>
              <w:spacing w:after="0" w:line="240" w:lineRule="auto"/>
              <w:rPr>
                <w:rFonts w:ascii="Calibri" w:eastAsia="Times New Roman" w:hAnsi="Calibri" w:cs="Calibri"/>
                <w:color w:val="000000"/>
                <w:lang w:eastAsia="es-EC"/>
              </w:rPr>
            </w:pPr>
          </w:p>
        </w:tc>
      </w:tr>
      <w:tr w:rsidR="006D5EB6" w:rsidRPr="00F86DB2" w:rsidTr="006D5EB6">
        <w:trPr>
          <w:trHeight w:val="300"/>
        </w:trPr>
        <w:tc>
          <w:tcPr>
            <w:tcW w:w="5091" w:type="dxa"/>
            <w:gridSpan w:val="4"/>
            <w:tcBorders>
              <w:top w:val="nil"/>
              <w:left w:val="nil"/>
              <w:bottom w:val="nil"/>
              <w:right w:val="nil"/>
            </w:tcBorders>
            <w:shd w:val="clear" w:color="auto" w:fill="auto"/>
            <w:noWrap/>
            <w:vAlign w:val="bottom"/>
            <w:hideMark/>
          </w:tcPr>
          <w:p w:rsidR="006D5EB6" w:rsidRPr="00F86DB2" w:rsidRDefault="006D5EB6" w:rsidP="006D5EB6">
            <w:pPr>
              <w:spacing w:after="0" w:line="240" w:lineRule="auto"/>
              <w:jc w:val="center"/>
              <w:rPr>
                <w:rFonts w:ascii="Calibri" w:eastAsia="Times New Roman" w:hAnsi="Calibri" w:cs="Calibri"/>
                <w:color w:val="000000"/>
                <w:lang w:eastAsia="es-EC"/>
              </w:rPr>
            </w:pPr>
            <w:r w:rsidRPr="00F86DB2">
              <w:rPr>
                <w:rFonts w:ascii="Calibri" w:eastAsia="Times New Roman" w:hAnsi="Calibri" w:cs="Calibri"/>
                <w:color w:val="000000"/>
                <w:lang w:eastAsia="es-EC"/>
              </w:rPr>
              <w:t>Desde 01-01-2011 Hasta 31-12-2011</w:t>
            </w:r>
          </w:p>
        </w:tc>
        <w:tc>
          <w:tcPr>
            <w:tcW w:w="1508" w:type="dxa"/>
            <w:tcBorders>
              <w:top w:val="nil"/>
              <w:left w:val="nil"/>
              <w:bottom w:val="nil"/>
              <w:right w:val="nil"/>
            </w:tcBorders>
            <w:shd w:val="clear" w:color="auto" w:fill="auto"/>
            <w:noWrap/>
            <w:vAlign w:val="bottom"/>
            <w:hideMark/>
          </w:tcPr>
          <w:p w:rsidR="006D5EB6" w:rsidRPr="00F86DB2" w:rsidRDefault="006D5EB6" w:rsidP="006D5EB6">
            <w:pPr>
              <w:spacing w:after="0" w:line="240" w:lineRule="auto"/>
              <w:rPr>
                <w:rFonts w:ascii="Calibri" w:eastAsia="Times New Roman" w:hAnsi="Calibri" w:cs="Calibri"/>
                <w:color w:val="000000"/>
                <w:lang w:eastAsia="es-EC"/>
              </w:rPr>
            </w:pPr>
          </w:p>
        </w:tc>
      </w:tr>
      <w:tr w:rsidR="006D5EB6" w:rsidRPr="00F86DB2" w:rsidTr="006D5EB6">
        <w:trPr>
          <w:trHeight w:val="300"/>
        </w:trPr>
        <w:tc>
          <w:tcPr>
            <w:tcW w:w="660" w:type="dxa"/>
            <w:tcBorders>
              <w:top w:val="nil"/>
              <w:left w:val="nil"/>
              <w:bottom w:val="single" w:sz="4" w:space="0" w:color="FF9900"/>
              <w:right w:val="nil"/>
            </w:tcBorders>
            <w:shd w:val="clear" w:color="auto" w:fill="auto"/>
            <w:noWrap/>
            <w:vAlign w:val="bottom"/>
            <w:hideMark/>
          </w:tcPr>
          <w:p w:rsidR="006D5EB6" w:rsidRPr="00F86DB2" w:rsidRDefault="006D5EB6" w:rsidP="006D5EB6">
            <w:pPr>
              <w:spacing w:after="0" w:line="240" w:lineRule="auto"/>
              <w:rPr>
                <w:rFonts w:ascii="Calibri" w:eastAsia="Times New Roman" w:hAnsi="Calibri" w:cs="Calibri"/>
                <w:color w:val="000000"/>
                <w:lang w:eastAsia="es-EC"/>
              </w:rPr>
            </w:pPr>
          </w:p>
        </w:tc>
        <w:tc>
          <w:tcPr>
            <w:tcW w:w="660" w:type="dxa"/>
            <w:tcBorders>
              <w:top w:val="nil"/>
              <w:left w:val="nil"/>
              <w:bottom w:val="single" w:sz="4" w:space="0" w:color="FF9900"/>
              <w:right w:val="nil"/>
            </w:tcBorders>
            <w:shd w:val="clear" w:color="auto" w:fill="auto"/>
            <w:noWrap/>
            <w:vAlign w:val="bottom"/>
            <w:hideMark/>
          </w:tcPr>
          <w:p w:rsidR="006D5EB6" w:rsidRPr="00F86DB2" w:rsidRDefault="006D5EB6" w:rsidP="006D5EB6">
            <w:pPr>
              <w:spacing w:after="0" w:line="240" w:lineRule="auto"/>
              <w:rPr>
                <w:rFonts w:ascii="Calibri" w:eastAsia="Times New Roman" w:hAnsi="Calibri" w:cs="Calibri"/>
                <w:color w:val="000000"/>
                <w:lang w:eastAsia="es-EC"/>
              </w:rPr>
            </w:pPr>
          </w:p>
        </w:tc>
        <w:tc>
          <w:tcPr>
            <w:tcW w:w="2561" w:type="dxa"/>
            <w:tcBorders>
              <w:top w:val="nil"/>
              <w:left w:val="nil"/>
              <w:bottom w:val="single" w:sz="4" w:space="0" w:color="FF9900"/>
              <w:right w:val="nil"/>
            </w:tcBorders>
            <w:shd w:val="clear" w:color="auto" w:fill="auto"/>
            <w:noWrap/>
            <w:vAlign w:val="bottom"/>
            <w:hideMark/>
          </w:tcPr>
          <w:p w:rsidR="006D5EB6" w:rsidRPr="00F86DB2" w:rsidRDefault="006D5EB6" w:rsidP="006D5EB6">
            <w:pPr>
              <w:spacing w:after="0" w:line="240" w:lineRule="auto"/>
              <w:rPr>
                <w:rFonts w:ascii="Calibri" w:eastAsia="Times New Roman" w:hAnsi="Calibri" w:cs="Calibri"/>
                <w:color w:val="000000"/>
                <w:lang w:eastAsia="es-EC"/>
              </w:rPr>
            </w:pPr>
          </w:p>
        </w:tc>
        <w:tc>
          <w:tcPr>
            <w:tcW w:w="1210" w:type="dxa"/>
            <w:tcBorders>
              <w:top w:val="nil"/>
              <w:left w:val="nil"/>
              <w:bottom w:val="single" w:sz="4" w:space="0" w:color="FF9900"/>
              <w:right w:val="nil"/>
            </w:tcBorders>
            <w:shd w:val="clear" w:color="auto" w:fill="auto"/>
            <w:noWrap/>
            <w:vAlign w:val="bottom"/>
            <w:hideMark/>
          </w:tcPr>
          <w:p w:rsidR="006D5EB6" w:rsidRPr="00F86DB2" w:rsidRDefault="006D5EB6" w:rsidP="006D5EB6">
            <w:pPr>
              <w:spacing w:after="0" w:line="240" w:lineRule="auto"/>
              <w:rPr>
                <w:rFonts w:ascii="Calibri" w:eastAsia="Times New Roman" w:hAnsi="Calibri" w:cs="Calibri"/>
                <w:color w:val="000000"/>
                <w:lang w:eastAsia="es-EC"/>
              </w:rPr>
            </w:pPr>
          </w:p>
        </w:tc>
        <w:tc>
          <w:tcPr>
            <w:tcW w:w="1508" w:type="dxa"/>
            <w:tcBorders>
              <w:top w:val="nil"/>
              <w:left w:val="nil"/>
              <w:bottom w:val="single" w:sz="4" w:space="0" w:color="FF9900"/>
              <w:right w:val="nil"/>
            </w:tcBorders>
            <w:shd w:val="clear" w:color="auto" w:fill="auto"/>
            <w:noWrap/>
            <w:vAlign w:val="bottom"/>
            <w:hideMark/>
          </w:tcPr>
          <w:p w:rsidR="006D5EB6" w:rsidRPr="00F86DB2" w:rsidRDefault="006D5EB6" w:rsidP="006D5EB6">
            <w:pPr>
              <w:spacing w:after="0" w:line="240" w:lineRule="auto"/>
              <w:rPr>
                <w:rFonts w:ascii="Calibri" w:eastAsia="Times New Roman" w:hAnsi="Calibri" w:cs="Calibri"/>
                <w:color w:val="000000"/>
                <w:lang w:eastAsia="es-EC"/>
              </w:rPr>
            </w:pPr>
          </w:p>
        </w:tc>
      </w:tr>
      <w:tr w:rsidR="006D5EB6" w:rsidRPr="00F86DB2" w:rsidTr="006D5EB6">
        <w:trPr>
          <w:trHeight w:val="300"/>
        </w:trPr>
        <w:tc>
          <w:tcPr>
            <w:tcW w:w="3881" w:type="dxa"/>
            <w:gridSpan w:val="3"/>
            <w:vMerge w:val="restart"/>
            <w:tcBorders>
              <w:top w:val="single" w:sz="4" w:space="0" w:color="FF9900"/>
              <w:left w:val="single" w:sz="4" w:space="0" w:color="FF9900"/>
              <w:bottom w:val="single" w:sz="4" w:space="0" w:color="FF9900"/>
              <w:right w:val="single" w:sz="4" w:space="0" w:color="FF9900"/>
            </w:tcBorders>
            <w:shd w:val="clear" w:color="auto" w:fill="auto"/>
            <w:noWrap/>
            <w:vAlign w:val="center"/>
            <w:hideMark/>
          </w:tcPr>
          <w:p w:rsidR="006D5EB6" w:rsidRPr="00F86DB2" w:rsidRDefault="006D5EB6" w:rsidP="006D5EB6">
            <w:pPr>
              <w:spacing w:after="0" w:line="240" w:lineRule="auto"/>
              <w:jc w:val="center"/>
              <w:rPr>
                <w:rFonts w:ascii="Calibri" w:eastAsia="Times New Roman" w:hAnsi="Calibri" w:cs="Calibri"/>
                <w:b/>
                <w:bCs/>
                <w:color w:val="376091"/>
                <w:lang w:eastAsia="es-EC"/>
              </w:rPr>
            </w:pPr>
            <w:r w:rsidRPr="00F86DB2">
              <w:rPr>
                <w:rFonts w:ascii="Calibri" w:eastAsia="Times New Roman" w:hAnsi="Calibri" w:cs="Calibri"/>
                <w:b/>
                <w:bCs/>
                <w:color w:val="376091"/>
                <w:lang w:eastAsia="es-EC"/>
              </w:rPr>
              <w:t>Descripción de la Cuenta</w:t>
            </w:r>
          </w:p>
        </w:tc>
        <w:tc>
          <w:tcPr>
            <w:tcW w:w="1210" w:type="dxa"/>
            <w:vMerge w:val="restart"/>
            <w:tcBorders>
              <w:top w:val="single" w:sz="4" w:space="0" w:color="FF9900"/>
              <w:left w:val="single" w:sz="4" w:space="0" w:color="FF9900"/>
              <w:bottom w:val="single" w:sz="4" w:space="0" w:color="FF9900"/>
              <w:right w:val="single" w:sz="4" w:space="0" w:color="FF9900"/>
            </w:tcBorders>
            <w:shd w:val="clear" w:color="auto" w:fill="auto"/>
            <w:noWrap/>
            <w:vAlign w:val="center"/>
            <w:hideMark/>
          </w:tcPr>
          <w:p w:rsidR="006D5EB6" w:rsidRPr="00F86DB2" w:rsidRDefault="006D5EB6" w:rsidP="006D5EB6">
            <w:pPr>
              <w:spacing w:after="0" w:line="240" w:lineRule="auto"/>
              <w:jc w:val="center"/>
              <w:rPr>
                <w:rFonts w:ascii="Calibri" w:eastAsia="Times New Roman" w:hAnsi="Calibri" w:cs="Calibri"/>
                <w:b/>
                <w:bCs/>
                <w:color w:val="376091"/>
                <w:lang w:eastAsia="es-EC"/>
              </w:rPr>
            </w:pPr>
            <w:r w:rsidRPr="00F86DB2">
              <w:rPr>
                <w:rFonts w:ascii="Calibri" w:eastAsia="Times New Roman" w:hAnsi="Calibri" w:cs="Calibri"/>
                <w:b/>
                <w:bCs/>
                <w:color w:val="376091"/>
                <w:lang w:eastAsia="es-EC"/>
              </w:rPr>
              <w:t>2011</w:t>
            </w:r>
          </w:p>
        </w:tc>
        <w:tc>
          <w:tcPr>
            <w:tcW w:w="1508" w:type="dxa"/>
            <w:vMerge w:val="restart"/>
            <w:tcBorders>
              <w:top w:val="single" w:sz="4" w:space="0" w:color="FF9900"/>
              <w:left w:val="single" w:sz="4" w:space="0" w:color="FF9900"/>
              <w:bottom w:val="single" w:sz="4" w:space="0" w:color="FF9900"/>
              <w:right w:val="single" w:sz="4" w:space="0" w:color="FF9900"/>
            </w:tcBorders>
            <w:shd w:val="clear" w:color="auto" w:fill="auto"/>
            <w:noWrap/>
            <w:vAlign w:val="center"/>
            <w:hideMark/>
          </w:tcPr>
          <w:p w:rsidR="006D5EB6" w:rsidRPr="00F86DB2" w:rsidRDefault="006D5EB6" w:rsidP="006D5EB6">
            <w:pPr>
              <w:spacing w:after="0" w:line="240" w:lineRule="auto"/>
              <w:jc w:val="center"/>
              <w:rPr>
                <w:rFonts w:ascii="Calibri" w:eastAsia="Times New Roman" w:hAnsi="Calibri" w:cs="Calibri"/>
                <w:b/>
                <w:bCs/>
                <w:color w:val="376091"/>
                <w:lang w:eastAsia="es-EC"/>
              </w:rPr>
            </w:pPr>
            <w:r>
              <w:rPr>
                <w:rFonts w:ascii="Calibri" w:eastAsia="Times New Roman" w:hAnsi="Calibri" w:cs="Calibri"/>
                <w:b/>
                <w:bCs/>
                <w:noProof/>
                <w:color w:val="376091"/>
                <w:lang w:eastAsia="es-EC"/>
              </w:rPr>
              <w:pict>
                <v:shape id="_x0000_s1032" type="#_x0000_t63" style="position:absolute;left:0;text-align:left;margin-left:81.2pt;margin-top:26pt;width:104.05pt;height:58pt;z-index:251669504;mso-position-horizontal-relative:text;mso-position-vertical-relative:text" adj="1048,25250" strokecolor="#ffc000">
                  <v:textbox>
                    <w:txbxContent>
                      <w:p w:rsidR="006D5EB6" w:rsidRDefault="006D5EB6" w:rsidP="006D5EB6">
                        <w:r>
                          <w:t>ESTRUCTURA OPERATIVA</w:t>
                        </w:r>
                      </w:p>
                    </w:txbxContent>
                  </v:textbox>
                </v:shape>
              </w:pict>
            </w:r>
            <w:r w:rsidRPr="00F86DB2">
              <w:rPr>
                <w:rFonts w:ascii="Calibri" w:eastAsia="Times New Roman" w:hAnsi="Calibri" w:cs="Calibri"/>
                <w:b/>
                <w:bCs/>
                <w:color w:val="376091"/>
                <w:lang w:eastAsia="es-EC"/>
              </w:rPr>
              <w:t>Método Vertical</w:t>
            </w:r>
          </w:p>
        </w:tc>
      </w:tr>
      <w:tr w:rsidR="006D5EB6" w:rsidRPr="00F86DB2" w:rsidTr="006D5EB6">
        <w:trPr>
          <w:trHeight w:val="300"/>
        </w:trPr>
        <w:tc>
          <w:tcPr>
            <w:tcW w:w="3881" w:type="dxa"/>
            <w:gridSpan w:val="3"/>
            <w:vMerge/>
            <w:tcBorders>
              <w:top w:val="single" w:sz="4" w:space="0" w:color="FF9900"/>
              <w:left w:val="single" w:sz="4" w:space="0" w:color="FF9900"/>
              <w:bottom w:val="single" w:sz="4" w:space="0" w:color="FF9900"/>
              <w:right w:val="single" w:sz="4" w:space="0" w:color="FF9900"/>
            </w:tcBorders>
            <w:vAlign w:val="center"/>
            <w:hideMark/>
          </w:tcPr>
          <w:p w:rsidR="006D5EB6" w:rsidRPr="00F86DB2" w:rsidRDefault="006D5EB6" w:rsidP="006D5EB6">
            <w:pPr>
              <w:spacing w:after="0" w:line="240" w:lineRule="auto"/>
              <w:rPr>
                <w:rFonts w:ascii="Calibri" w:eastAsia="Times New Roman" w:hAnsi="Calibri" w:cs="Calibri"/>
                <w:b/>
                <w:bCs/>
                <w:color w:val="376091"/>
                <w:lang w:eastAsia="es-EC"/>
              </w:rPr>
            </w:pPr>
          </w:p>
        </w:tc>
        <w:tc>
          <w:tcPr>
            <w:tcW w:w="1210" w:type="dxa"/>
            <w:vMerge/>
            <w:tcBorders>
              <w:top w:val="single" w:sz="4" w:space="0" w:color="FF9900"/>
              <w:left w:val="single" w:sz="4" w:space="0" w:color="FF9900"/>
              <w:bottom w:val="single" w:sz="4" w:space="0" w:color="FF9900"/>
              <w:right w:val="single" w:sz="4" w:space="0" w:color="FF9900"/>
            </w:tcBorders>
            <w:vAlign w:val="center"/>
            <w:hideMark/>
          </w:tcPr>
          <w:p w:rsidR="006D5EB6" w:rsidRPr="00F86DB2" w:rsidRDefault="006D5EB6" w:rsidP="006D5EB6">
            <w:pPr>
              <w:spacing w:after="0" w:line="240" w:lineRule="auto"/>
              <w:rPr>
                <w:rFonts w:ascii="Calibri" w:eastAsia="Times New Roman" w:hAnsi="Calibri" w:cs="Calibri"/>
                <w:b/>
                <w:bCs/>
                <w:color w:val="376091"/>
                <w:lang w:eastAsia="es-EC"/>
              </w:rPr>
            </w:pPr>
          </w:p>
        </w:tc>
        <w:tc>
          <w:tcPr>
            <w:tcW w:w="1508" w:type="dxa"/>
            <w:vMerge/>
            <w:tcBorders>
              <w:top w:val="single" w:sz="4" w:space="0" w:color="FF9900"/>
              <w:left w:val="single" w:sz="4" w:space="0" w:color="FF9900"/>
              <w:bottom w:val="single" w:sz="4" w:space="0" w:color="FF9900"/>
              <w:right w:val="single" w:sz="4" w:space="0" w:color="FF9900"/>
            </w:tcBorders>
            <w:vAlign w:val="center"/>
            <w:hideMark/>
          </w:tcPr>
          <w:p w:rsidR="006D5EB6" w:rsidRPr="00F86DB2" w:rsidRDefault="006D5EB6" w:rsidP="006D5EB6">
            <w:pPr>
              <w:spacing w:after="0" w:line="240" w:lineRule="auto"/>
              <w:rPr>
                <w:rFonts w:ascii="Calibri" w:eastAsia="Times New Roman" w:hAnsi="Calibri" w:cs="Calibri"/>
                <w:b/>
                <w:bCs/>
                <w:color w:val="376091"/>
                <w:lang w:eastAsia="es-EC"/>
              </w:rPr>
            </w:pPr>
          </w:p>
        </w:tc>
      </w:tr>
      <w:tr w:rsidR="006D5EB6" w:rsidRPr="00F86DB2" w:rsidTr="006D5EB6">
        <w:trPr>
          <w:trHeight w:val="300"/>
        </w:trPr>
        <w:tc>
          <w:tcPr>
            <w:tcW w:w="3881" w:type="dxa"/>
            <w:gridSpan w:val="3"/>
            <w:tcBorders>
              <w:top w:val="single" w:sz="4" w:space="0" w:color="FF9900"/>
              <w:left w:val="single" w:sz="4" w:space="0" w:color="FF9900"/>
              <w:bottom w:val="single" w:sz="4" w:space="0" w:color="FF9900"/>
              <w:right w:val="single" w:sz="4" w:space="0" w:color="FF9900"/>
            </w:tcBorders>
            <w:shd w:val="clear" w:color="auto" w:fill="auto"/>
            <w:noWrap/>
            <w:vAlign w:val="bottom"/>
            <w:hideMark/>
          </w:tcPr>
          <w:p w:rsidR="006D5EB6" w:rsidRPr="00F86DB2" w:rsidRDefault="006D5EB6" w:rsidP="006D5EB6">
            <w:pPr>
              <w:spacing w:after="0" w:line="240" w:lineRule="auto"/>
              <w:rPr>
                <w:rFonts w:ascii="Calibri" w:eastAsia="Times New Roman" w:hAnsi="Calibri" w:cs="Calibri"/>
                <w:color w:val="000000"/>
                <w:lang w:eastAsia="es-EC"/>
              </w:rPr>
            </w:pPr>
            <w:r w:rsidRPr="00F86DB2">
              <w:rPr>
                <w:rFonts w:ascii="Calibri" w:eastAsia="Times New Roman" w:hAnsi="Calibri" w:cs="Calibri"/>
                <w:color w:val="000000"/>
                <w:lang w:eastAsia="es-EC"/>
              </w:rPr>
              <w:t>Ventas</w:t>
            </w:r>
          </w:p>
        </w:tc>
        <w:tc>
          <w:tcPr>
            <w:tcW w:w="1210" w:type="dxa"/>
            <w:tcBorders>
              <w:top w:val="single" w:sz="4" w:space="0" w:color="FF9900"/>
              <w:left w:val="single" w:sz="4" w:space="0" w:color="FF9900"/>
              <w:bottom w:val="single" w:sz="4" w:space="0" w:color="FF9900"/>
              <w:right w:val="single" w:sz="4" w:space="0" w:color="FF9900"/>
            </w:tcBorders>
            <w:shd w:val="clear" w:color="auto" w:fill="auto"/>
            <w:noWrap/>
            <w:vAlign w:val="bottom"/>
            <w:hideMark/>
          </w:tcPr>
          <w:p w:rsidR="006D5EB6" w:rsidRPr="00F86DB2" w:rsidRDefault="006D5EB6" w:rsidP="006D5EB6">
            <w:pPr>
              <w:spacing w:after="0" w:line="240" w:lineRule="auto"/>
              <w:jc w:val="right"/>
              <w:rPr>
                <w:rFonts w:ascii="Calibri" w:eastAsia="Times New Roman" w:hAnsi="Calibri" w:cs="Calibri"/>
                <w:color w:val="000000"/>
                <w:lang w:eastAsia="es-EC"/>
              </w:rPr>
            </w:pPr>
            <w:r w:rsidRPr="00F86DB2">
              <w:rPr>
                <w:rFonts w:ascii="Calibri" w:eastAsia="Times New Roman" w:hAnsi="Calibri" w:cs="Calibri"/>
                <w:color w:val="000000"/>
                <w:lang w:eastAsia="es-EC"/>
              </w:rPr>
              <w:t>33.998,00</w:t>
            </w:r>
          </w:p>
        </w:tc>
        <w:tc>
          <w:tcPr>
            <w:tcW w:w="1508" w:type="dxa"/>
            <w:tcBorders>
              <w:top w:val="single" w:sz="4" w:space="0" w:color="FF9900"/>
              <w:left w:val="single" w:sz="4" w:space="0" w:color="FF9900"/>
              <w:bottom w:val="single" w:sz="4" w:space="0" w:color="FF9900"/>
              <w:right w:val="single" w:sz="4" w:space="0" w:color="FF9900"/>
            </w:tcBorders>
            <w:shd w:val="clear" w:color="auto" w:fill="auto"/>
            <w:noWrap/>
            <w:vAlign w:val="bottom"/>
            <w:hideMark/>
          </w:tcPr>
          <w:p w:rsidR="006D5EB6" w:rsidRPr="00F86DB2" w:rsidRDefault="006D5EB6" w:rsidP="006D5EB6">
            <w:pPr>
              <w:spacing w:after="0" w:line="240" w:lineRule="auto"/>
              <w:jc w:val="right"/>
              <w:rPr>
                <w:rFonts w:ascii="Calibri" w:eastAsia="Times New Roman" w:hAnsi="Calibri" w:cs="Calibri"/>
                <w:color w:val="FF33CC"/>
                <w:lang w:eastAsia="es-EC"/>
              </w:rPr>
            </w:pPr>
            <w:r w:rsidRPr="00F86DB2">
              <w:rPr>
                <w:rFonts w:ascii="Calibri" w:eastAsia="Times New Roman" w:hAnsi="Calibri" w:cs="Calibri"/>
                <w:color w:val="FF33CC"/>
                <w:lang w:eastAsia="es-EC"/>
              </w:rPr>
              <w:t>1</w:t>
            </w:r>
          </w:p>
        </w:tc>
      </w:tr>
      <w:tr w:rsidR="006D5EB6" w:rsidRPr="00F86DB2" w:rsidTr="006D5EB6">
        <w:trPr>
          <w:trHeight w:val="300"/>
        </w:trPr>
        <w:tc>
          <w:tcPr>
            <w:tcW w:w="3881" w:type="dxa"/>
            <w:gridSpan w:val="3"/>
            <w:tcBorders>
              <w:top w:val="single" w:sz="4" w:space="0" w:color="FF9900"/>
              <w:left w:val="single" w:sz="4" w:space="0" w:color="FF9900"/>
              <w:bottom w:val="single" w:sz="4" w:space="0" w:color="FF9900"/>
              <w:right w:val="single" w:sz="4" w:space="0" w:color="FF9900"/>
            </w:tcBorders>
            <w:shd w:val="clear" w:color="auto" w:fill="auto"/>
            <w:noWrap/>
            <w:vAlign w:val="bottom"/>
            <w:hideMark/>
          </w:tcPr>
          <w:p w:rsidR="006D5EB6" w:rsidRPr="00F86DB2" w:rsidRDefault="006D5EB6" w:rsidP="006D5EB6">
            <w:pPr>
              <w:spacing w:after="0" w:line="240" w:lineRule="auto"/>
              <w:rPr>
                <w:rFonts w:ascii="Calibri" w:eastAsia="Times New Roman" w:hAnsi="Calibri" w:cs="Calibri"/>
                <w:color w:val="000000"/>
                <w:lang w:eastAsia="es-EC"/>
              </w:rPr>
            </w:pPr>
            <w:r w:rsidRPr="00F86DB2">
              <w:rPr>
                <w:rFonts w:ascii="Calibri" w:eastAsia="Times New Roman" w:hAnsi="Calibri" w:cs="Calibri"/>
                <w:color w:val="000000"/>
                <w:lang w:eastAsia="es-EC"/>
              </w:rPr>
              <w:t>Costo de Ventas</w:t>
            </w:r>
          </w:p>
        </w:tc>
        <w:tc>
          <w:tcPr>
            <w:tcW w:w="1210" w:type="dxa"/>
            <w:tcBorders>
              <w:top w:val="single" w:sz="4" w:space="0" w:color="FF9900"/>
              <w:left w:val="single" w:sz="4" w:space="0" w:color="FF9900"/>
              <w:bottom w:val="single" w:sz="4" w:space="0" w:color="FF9900"/>
              <w:right w:val="single" w:sz="4" w:space="0" w:color="FF9900"/>
            </w:tcBorders>
            <w:shd w:val="clear" w:color="auto" w:fill="auto"/>
            <w:noWrap/>
            <w:vAlign w:val="bottom"/>
            <w:hideMark/>
          </w:tcPr>
          <w:p w:rsidR="006D5EB6" w:rsidRPr="00F86DB2" w:rsidRDefault="006D5EB6" w:rsidP="006D5EB6">
            <w:pPr>
              <w:spacing w:after="0" w:line="240" w:lineRule="auto"/>
              <w:jc w:val="right"/>
              <w:rPr>
                <w:rFonts w:ascii="Calibri" w:eastAsia="Times New Roman" w:hAnsi="Calibri" w:cs="Calibri"/>
                <w:color w:val="000000"/>
                <w:lang w:eastAsia="es-EC"/>
              </w:rPr>
            </w:pPr>
            <w:r w:rsidRPr="00F86DB2">
              <w:rPr>
                <w:rFonts w:ascii="Calibri" w:eastAsia="Times New Roman" w:hAnsi="Calibri" w:cs="Calibri"/>
                <w:color w:val="000000"/>
                <w:lang w:eastAsia="es-EC"/>
              </w:rPr>
              <w:t>20.104,20</w:t>
            </w:r>
          </w:p>
        </w:tc>
        <w:tc>
          <w:tcPr>
            <w:tcW w:w="1508" w:type="dxa"/>
            <w:tcBorders>
              <w:top w:val="single" w:sz="4" w:space="0" w:color="FF9900"/>
              <w:left w:val="single" w:sz="4" w:space="0" w:color="FF9900"/>
              <w:bottom w:val="single" w:sz="4" w:space="0" w:color="FF9900"/>
              <w:right w:val="single" w:sz="4" w:space="0" w:color="FF9900"/>
            </w:tcBorders>
            <w:shd w:val="clear" w:color="auto" w:fill="auto"/>
            <w:noWrap/>
            <w:vAlign w:val="bottom"/>
            <w:hideMark/>
          </w:tcPr>
          <w:p w:rsidR="006D5EB6" w:rsidRPr="00F86DB2" w:rsidRDefault="006D5EB6" w:rsidP="006D5EB6">
            <w:pPr>
              <w:spacing w:after="0" w:line="240" w:lineRule="auto"/>
              <w:jc w:val="right"/>
              <w:rPr>
                <w:rFonts w:ascii="Calibri" w:eastAsia="Times New Roman" w:hAnsi="Calibri" w:cs="Calibri"/>
                <w:color w:val="FF33CC"/>
                <w:lang w:eastAsia="es-EC"/>
              </w:rPr>
            </w:pPr>
            <w:r w:rsidRPr="00F86DB2">
              <w:rPr>
                <w:rFonts w:ascii="Calibri" w:eastAsia="Times New Roman" w:hAnsi="Calibri" w:cs="Calibri"/>
                <w:color w:val="FF33CC"/>
                <w:lang w:eastAsia="es-EC"/>
              </w:rPr>
              <w:t>0,59</w:t>
            </w:r>
          </w:p>
        </w:tc>
      </w:tr>
      <w:tr w:rsidR="006D5EB6" w:rsidRPr="00F86DB2" w:rsidTr="006D5EB6">
        <w:trPr>
          <w:trHeight w:val="300"/>
        </w:trPr>
        <w:tc>
          <w:tcPr>
            <w:tcW w:w="3881" w:type="dxa"/>
            <w:gridSpan w:val="3"/>
            <w:tcBorders>
              <w:top w:val="single" w:sz="4" w:space="0" w:color="FF9900"/>
              <w:left w:val="single" w:sz="4" w:space="0" w:color="FF9900"/>
              <w:bottom w:val="single" w:sz="4" w:space="0" w:color="FF9900"/>
              <w:right w:val="single" w:sz="4" w:space="0" w:color="FF9900"/>
            </w:tcBorders>
            <w:shd w:val="clear" w:color="auto" w:fill="auto"/>
            <w:noWrap/>
            <w:vAlign w:val="bottom"/>
            <w:hideMark/>
          </w:tcPr>
          <w:p w:rsidR="006D5EB6" w:rsidRPr="00F86DB2" w:rsidRDefault="006D5EB6" w:rsidP="006D5EB6">
            <w:pPr>
              <w:spacing w:after="0" w:line="240" w:lineRule="auto"/>
              <w:rPr>
                <w:rFonts w:ascii="Calibri" w:eastAsia="Times New Roman" w:hAnsi="Calibri" w:cs="Calibri"/>
                <w:b/>
                <w:bCs/>
                <w:color w:val="000000"/>
                <w:lang w:eastAsia="es-EC"/>
              </w:rPr>
            </w:pPr>
            <w:r w:rsidRPr="00F86DB2">
              <w:rPr>
                <w:rFonts w:ascii="Calibri" w:eastAsia="Times New Roman" w:hAnsi="Calibri" w:cs="Calibri"/>
                <w:b/>
                <w:bCs/>
                <w:color w:val="000000"/>
                <w:lang w:eastAsia="es-EC"/>
              </w:rPr>
              <w:t>UTILIDAD BRUTA EN VENTAS</w:t>
            </w:r>
          </w:p>
        </w:tc>
        <w:tc>
          <w:tcPr>
            <w:tcW w:w="1210" w:type="dxa"/>
            <w:tcBorders>
              <w:top w:val="single" w:sz="4" w:space="0" w:color="FF9900"/>
              <w:left w:val="single" w:sz="4" w:space="0" w:color="FF9900"/>
              <w:bottom w:val="single" w:sz="4" w:space="0" w:color="FF9900"/>
              <w:right w:val="single" w:sz="4" w:space="0" w:color="FF9900"/>
            </w:tcBorders>
            <w:shd w:val="clear" w:color="auto" w:fill="auto"/>
            <w:noWrap/>
            <w:vAlign w:val="bottom"/>
            <w:hideMark/>
          </w:tcPr>
          <w:p w:rsidR="006D5EB6" w:rsidRPr="00F86DB2" w:rsidRDefault="006D5EB6" w:rsidP="006D5EB6">
            <w:pPr>
              <w:spacing w:after="0" w:line="240" w:lineRule="auto"/>
              <w:jc w:val="right"/>
              <w:rPr>
                <w:rFonts w:ascii="Calibri" w:eastAsia="Times New Roman" w:hAnsi="Calibri" w:cs="Calibri"/>
                <w:b/>
                <w:bCs/>
                <w:color w:val="000000"/>
                <w:lang w:eastAsia="es-EC"/>
              </w:rPr>
            </w:pPr>
            <w:r w:rsidRPr="00F86DB2">
              <w:rPr>
                <w:rFonts w:ascii="Calibri" w:eastAsia="Times New Roman" w:hAnsi="Calibri" w:cs="Calibri"/>
                <w:b/>
                <w:bCs/>
                <w:color w:val="000000"/>
                <w:lang w:eastAsia="es-EC"/>
              </w:rPr>
              <w:t>13.893,80</w:t>
            </w:r>
          </w:p>
        </w:tc>
        <w:tc>
          <w:tcPr>
            <w:tcW w:w="1508" w:type="dxa"/>
            <w:tcBorders>
              <w:top w:val="single" w:sz="4" w:space="0" w:color="FF9900"/>
              <w:left w:val="single" w:sz="4" w:space="0" w:color="FF9900"/>
              <w:bottom w:val="single" w:sz="4" w:space="0" w:color="FF9900"/>
              <w:right w:val="single" w:sz="4" w:space="0" w:color="FF9900"/>
            </w:tcBorders>
            <w:shd w:val="clear" w:color="auto" w:fill="auto"/>
            <w:noWrap/>
            <w:vAlign w:val="bottom"/>
            <w:hideMark/>
          </w:tcPr>
          <w:p w:rsidR="006D5EB6" w:rsidRPr="00F86DB2" w:rsidRDefault="006D5EB6" w:rsidP="006D5EB6">
            <w:pPr>
              <w:spacing w:after="0" w:line="240" w:lineRule="auto"/>
              <w:rPr>
                <w:rFonts w:ascii="Calibri" w:eastAsia="Times New Roman" w:hAnsi="Calibri" w:cs="Calibri"/>
                <w:color w:val="FF33CC"/>
                <w:lang w:eastAsia="es-EC"/>
              </w:rPr>
            </w:pPr>
            <w:r w:rsidRPr="00F86DB2">
              <w:rPr>
                <w:rFonts w:ascii="Calibri" w:eastAsia="Times New Roman" w:hAnsi="Calibri" w:cs="Calibri"/>
                <w:color w:val="FF33CC"/>
                <w:lang w:eastAsia="es-EC"/>
              </w:rPr>
              <w:t> </w:t>
            </w:r>
          </w:p>
        </w:tc>
      </w:tr>
      <w:tr w:rsidR="006D5EB6" w:rsidRPr="00F86DB2" w:rsidTr="006D5EB6">
        <w:trPr>
          <w:trHeight w:val="300"/>
        </w:trPr>
        <w:tc>
          <w:tcPr>
            <w:tcW w:w="3881" w:type="dxa"/>
            <w:gridSpan w:val="3"/>
            <w:tcBorders>
              <w:top w:val="single" w:sz="4" w:space="0" w:color="FF9900"/>
              <w:left w:val="single" w:sz="4" w:space="0" w:color="FF9900"/>
              <w:bottom w:val="single" w:sz="4" w:space="0" w:color="FF9900"/>
              <w:right w:val="single" w:sz="4" w:space="0" w:color="FF9900"/>
            </w:tcBorders>
            <w:shd w:val="clear" w:color="auto" w:fill="auto"/>
            <w:noWrap/>
            <w:vAlign w:val="bottom"/>
            <w:hideMark/>
          </w:tcPr>
          <w:p w:rsidR="006D5EB6" w:rsidRPr="00F86DB2" w:rsidRDefault="006D5EB6" w:rsidP="006D5EB6">
            <w:pPr>
              <w:spacing w:after="0" w:line="240" w:lineRule="auto"/>
              <w:rPr>
                <w:rFonts w:ascii="Calibri" w:eastAsia="Times New Roman" w:hAnsi="Calibri" w:cs="Calibri"/>
                <w:color w:val="000000"/>
                <w:lang w:eastAsia="es-EC"/>
              </w:rPr>
            </w:pPr>
            <w:r w:rsidRPr="00F86DB2">
              <w:rPr>
                <w:rFonts w:ascii="Calibri" w:eastAsia="Times New Roman" w:hAnsi="Calibri" w:cs="Calibri"/>
                <w:color w:val="000000"/>
                <w:lang w:eastAsia="es-EC"/>
              </w:rPr>
              <w:t> </w:t>
            </w:r>
          </w:p>
        </w:tc>
        <w:tc>
          <w:tcPr>
            <w:tcW w:w="1210" w:type="dxa"/>
            <w:tcBorders>
              <w:top w:val="single" w:sz="4" w:space="0" w:color="FF9900"/>
              <w:left w:val="single" w:sz="4" w:space="0" w:color="FF9900"/>
              <w:bottom w:val="single" w:sz="4" w:space="0" w:color="FF9900"/>
              <w:right w:val="single" w:sz="4" w:space="0" w:color="FF9900"/>
            </w:tcBorders>
            <w:shd w:val="clear" w:color="auto" w:fill="auto"/>
            <w:noWrap/>
            <w:vAlign w:val="bottom"/>
            <w:hideMark/>
          </w:tcPr>
          <w:p w:rsidR="006D5EB6" w:rsidRPr="00F86DB2" w:rsidRDefault="006D5EB6" w:rsidP="006D5EB6">
            <w:pPr>
              <w:spacing w:after="0" w:line="240" w:lineRule="auto"/>
              <w:jc w:val="right"/>
              <w:rPr>
                <w:rFonts w:ascii="Calibri" w:eastAsia="Times New Roman" w:hAnsi="Calibri" w:cs="Calibri"/>
                <w:color w:val="000000"/>
                <w:lang w:eastAsia="es-EC"/>
              </w:rPr>
            </w:pPr>
            <w:r w:rsidRPr="00F86DB2">
              <w:rPr>
                <w:rFonts w:ascii="Calibri" w:eastAsia="Times New Roman" w:hAnsi="Calibri" w:cs="Calibri"/>
                <w:color w:val="000000"/>
                <w:lang w:eastAsia="es-EC"/>
              </w:rPr>
              <w:t> </w:t>
            </w:r>
          </w:p>
        </w:tc>
        <w:tc>
          <w:tcPr>
            <w:tcW w:w="1508" w:type="dxa"/>
            <w:tcBorders>
              <w:top w:val="single" w:sz="4" w:space="0" w:color="FF9900"/>
              <w:left w:val="single" w:sz="4" w:space="0" w:color="FF9900"/>
              <w:bottom w:val="single" w:sz="4" w:space="0" w:color="FF9900"/>
              <w:right w:val="single" w:sz="4" w:space="0" w:color="FF9900"/>
            </w:tcBorders>
            <w:shd w:val="clear" w:color="auto" w:fill="auto"/>
            <w:noWrap/>
            <w:vAlign w:val="bottom"/>
            <w:hideMark/>
          </w:tcPr>
          <w:p w:rsidR="006D5EB6" w:rsidRPr="00F86DB2" w:rsidRDefault="006D5EB6" w:rsidP="006D5EB6">
            <w:pPr>
              <w:spacing w:after="0" w:line="240" w:lineRule="auto"/>
              <w:rPr>
                <w:rFonts w:ascii="Calibri" w:eastAsia="Times New Roman" w:hAnsi="Calibri" w:cs="Calibri"/>
                <w:color w:val="FF33CC"/>
                <w:lang w:eastAsia="es-EC"/>
              </w:rPr>
            </w:pPr>
            <w:r w:rsidRPr="00F86DB2">
              <w:rPr>
                <w:rFonts w:ascii="Calibri" w:eastAsia="Times New Roman" w:hAnsi="Calibri" w:cs="Calibri"/>
                <w:color w:val="FF33CC"/>
                <w:lang w:eastAsia="es-EC"/>
              </w:rPr>
              <w:t> </w:t>
            </w:r>
          </w:p>
        </w:tc>
      </w:tr>
      <w:tr w:rsidR="006D5EB6" w:rsidRPr="00F86DB2" w:rsidTr="006D5EB6">
        <w:trPr>
          <w:trHeight w:val="300"/>
        </w:trPr>
        <w:tc>
          <w:tcPr>
            <w:tcW w:w="3881" w:type="dxa"/>
            <w:gridSpan w:val="3"/>
            <w:tcBorders>
              <w:top w:val="single" w:sz="4" w:space="0" w:color="FF9900"/>
              <w:left w:val="single" w:sz="4" w:space="0" w:color="FF9900"/>
              <w:bottom w:val="single" w:sz="4" w:space="0" w:color="FF9900"/>
              <w:right w:val="single" w:sz="4" w:space="0" w:color="FF9900"/>
            </w:tcBorders>
            <w:shd w:val="clear" w:color="auto" w:fill="auto"/>
            <w:noWrap/>
            <w:vAlign w:val="bottom"/>
            <w:hideMark/>
          </w:tcPr>
          <w:p w:rsidR="006D5EB6" w:rsidRPr="00F86DB2" w:rsidRDefault="006D5EB6" w:rsidP="006D5EB6">
            <w:pPr>
              <w:spacing w:after="0" w:line="240" w:lineRule="auto"/>
              <w:rPr>
                <w:rFonts w:ascii="Calibri" w:eastAsia="Times New Roman" w:hAnsi="Calibri" w:cs="Calibri"/>
                <w:color w:val="000000"/>
                <w:lang w:eastAsia="es-EC"/>
              </w:rPr>
            </w:pPr>
            <w:r w:rsidRPr="00F86DB2">
              <w:rPr>
                <w:rFonts w:ascii="Calibri" w:eastAsia="Times New Roman" w:hAnsi="Calibri" w:cs="Calibri"/>
                <w:color w:val="000000"/>
                <w:lang w:eastAsia="es-EC"/>
              </w:rPr>
              <w:t>Gastos Administrativos</w:t>
            </w:r>
          </w:p>
        </w:tc>
        <w:tc>
          <w:tcPr>
            <w:tcW w:w="1210" w:type="dxa"/>
            <w:tcBorders>
              <w:top w:val="single" w:sz="4" w:space="0" w:color="FF9900"/>
              <w:left w:val="single" w:sz="4" w:space="0" w:color="FF9900"/>
              <w:bottom w:val="single" w:sz="4" w:space="0" w:color="FF9900"/>
              <w:right w:val="single" w:sz="4" w:space="0" w:color="FF9900"/>
            </w:tcBorders>
            <w:shd w:val="clear" w:color="auto" w:fill="auto"/>
            <w:noWrap/>
            <w:vAlign w:val="bottom"/>
            <w:hideMark/>
          </w:tcPr>
          <w:p w:rsidR="006D5EB6" w:rsidRPr="00F86DB2" w:rsidRDefault="006D5EB6" w:rsidP="006D5EB6">
            <w:pPr>
              <w:spacing w:after="0" w:line="240" w:lineRule="auto"/>
              <w:jc w:val="right"/>
              <w:rPr>
                <w:rFonts w:ascii="Calibri" w:eastAsia="Times New Roman" w:hAnsi="Calibri" w:cs="Calibri"/>
                <w:color w:val="000000"/>
                <w:lang w:eastAsia="es-EC"/>
              </w:rPr>
            </w:pPr>
            <w:r w:rsidRPr="00F86DB2">
              <w:rPr>
                <w:rFonts w:ascii="Calibri" w:eastAsia="Times New Roman" w:hAnsi="Calibri" w:cs="Calibri"/>
                <w:color w:val="000000"/>
                <w:lang w:eastAsia="es-EC"/>
              </w:rPr>
              <w:t>42.795,62</w:t>
            </w:r>
          </w:p>
        </w:tc>
        <w:tc>
          <w:tcPr>
            <w:tcW w:w="1508" w:type="dxa"/>
            <w:tcBorders>
              <w:top w:val="single" w:sz="4" w:space="0" w:color="FF9900"/>
              <w:left w:val="single" w:sz="4" w:space="0" w:color="FF9900"/>
              <w:bottom w:val="single" w:sz="4" w:space="0" w:color="FF9900"/>
              <w:right w:val="single" w:sz="4" w:space="0" w:color="FF9900"/>
            </w:tcBorders>
            <w:shd w:val="clear" w:color="auto" w:fill="auto"/>
            <w:noWrap/>
            <w:vAlign w:val="bottom"/>
            <w:hideMark/>
          </w:tcPr>
          <w:p w:rsidR="006D5EB6" w:rsidRPr="00F86DB2" w:rsidRDefault="006D5EB6" w:rsidP="006D5EB6">
            <w:pPr>
              <w:spacing w:after="0" w:line="240" w:lineRule="auto"/>
              <w:jc w:val="right"/>
              <w:rPr>
                <w:rFonts w:ascii="Calibri" w:eastAsia="Times New Roman" w:hAnsi="Calibri" w:cs="Calibri"/>
                <w:color w:val="FF33CC"/>
                <w:lang w:eastAsia="es-EC"/>
              </w:rPr>
            </w:pPr>
            <w:r w:rsidRPr="00F86DB2">
              <w:rPr>
                <w:rFonts w:ascii="Calibri" w:eastAsia="Times New Roman" w:hAnsi="Calibri" w:cs="Calibri"/>
                <w:color w:val="FF33CC"/>
                <w:lang w:eastAsia="es-EC"/>
              </w:rPr>
              <w:t>1,26</w:t>
            </w:r>
          </w:p>
        </w:tc>
      </w:tr>
      <w:tr w:rsidR="006D5EB6" w:rsidRPr="00F86DB2" w:rsidTr="006D5EB6">
        <w:trPr>
          <w:trHeight w:val="300"/>
        </w:trPr>
        <w:tc>
          <w:tcPr>
            <w:tcW w:w="3881" w:type="dxa"/>
            <w:gridSpan w:val="3"/>
            <w:tcBorders>
              <w:top w:val="single" w:sz="4" w:space="0" w:color="FF9900"/>
              <w:left w:val="single" w:sz="4" w:space="0" w:color="FF9900"/>
              <w:bottom w:val="single" w:sz="4" w:space="0" w:color="FF9900"/>
              <w:right w:val="single" w:sz="4" w:space="0" w:color="FF9900"/>
            </w:tcBorders>
            <w:shd w:val="clear" w:color="auto" w:fill="auto"/>
            <w:noWrap/>
            <w:vAlign w:val="bottom"/>
            <w:hideMark/>
          </w:tcPr>
          <w:p w:rsidR="006D5EB6" w:rsidRPr="00F86DB2" w:rsidRDefault="006D5EB6" w:rsidP="006D5EB6">
            <w:pPr>
              <w:spacing w:after="0" w:line="240" w:lineRule="auto"/>
              <w:rPr>
                <w:rFonts w:ascii="Calibri" w:eastAsia="Times New Roman" w:hAnsi="Calibri" w:cs="Calibri"/>
                <w:color w:val="000000"/>
                <w:lang w:eastAsia="es-EC"/>
              </w:rPr>
            </w:pPr>
            <w:r w:rsidRPr="00F86DB2">
              <w:rPr>
                <w:rFonts w:ascii="Calibri" w:eastAsia="Times New Roman" w:hAnsi="Calibri" w:cs="Calibri"/>
                <w:color w:val="000000"/>
                <w:lang w:eastAsia="es-EC"/>
              </w:rPr>
              <w:t>Gastos Comerciales</w:t>
            </w:r>
          </w:p>
        </w:tc>
        <w:tc>
          <w:tcPr>
            <w:tcW w:w="1210" w:type="dxa"/>
            <w:tcBorders>
              <w:top w:val="single" w:sz="4" w:space="0" w:color="FF9900"/>
              <w:left w:val="single" w:sz="4" w:space="0" w:color="FF9900"/>
              <w:bottom w:val="single" w:sz="4" w:space="0" w:color="FF9900"/>
              <w:right w:val="single" w:sz="4" w:space="0" w:color="FF9900"/>
            </w:tcBorders>
            <w:shd w:val="clear" w:color="auto" w:fill="auto"/>
            <w:noWrap/>
            <w:vAlign w:val="bottom"/>
            <w:hideMark/>
          </w:tcPr>
          <w:p w:rsidR="006D5EB6" w:rsidRPr="00F86DB2" w:rsidRDefault="006D5EB6" w:rsidP="006D5EB6">
            <w:pPr>
              <w:spacing w:after="0" w:line="240" w:lineRule="auto"/>
              <w:jc w:val="right"/>
              <w:rPr>
                <w:rFonts w:ascii="Calibri" w:eastAsia="Times New Roman" w:hAnsi="Calibri" w:cs="Calibri"/>
                <w:color w:val="000000"/>
                <w:lang w:eastAsia="es-EC"/>
              </w:rPr>
            </w:pPr>
            <w:r w:rsidRPr="00F86DB2">
              <w:rPr>
                <w:rFonts w:ascii="Calibri" w:eastAsia="Times New Roman" w:hAnsi="Calibri" w:cs="Calibri"/>
                <w:color w:val="000000"/>
                <w:lang w:eastAsia="es-EC"/>
              </w:rPr>
              <w:t>1.009,32</w:t>
            </w:r>
          </w:p>
        </w:tc>
        <w:tc>
          <w:tcPr>
            <w:tcW w:w="1508" w:type="dxa"/>
            <w:tcBorders>
              <w:top w:val="single" w:sz="4" w:space="0" w:color="FF9900"/>
              <w:left w:val="single" w:sz="4" w:space="0" w:color="FF9900"/>
              <w:bottom w:val="single" w:sz="4" w:space="0" w:color="FF9900"/>
              <w:right w:val="single" w:sz="4" w:space="0" w:color="FF9900"/>
            </w:tcBorders>
            <w:shd w:val="clear" w:color="auto" w:fill="auto"/>
            <w:noWrap/>
            <w:vAlign w:val="bottom"/>
            <w:hideMark/>
          </w:tcPr>
          <w:p w:rsidR="006D5EB6" w:rsidRPr="00F86DB2" w:rsidRDefault="006D5EB6" w:rsidP="006D5EB6">
            <w:pPr>
              <w:spacing w:after="0" w:line="240" w:lineRule="auto"/>
              <w:jc w:val="right"/>
              <w:rPr>
                <w:rFonts w:ascii="Calibri" w:eastAsia="Times New Roman" w:hAnsi="Calibri" w:cs="Calibri"/>
                <w:color w:val="FF33CC"/>
                <w:lang w:eastAsia="es-EC"/>
              </w:rPr>
            </w:pPr>
            <w:r w:rsidRPr="00F86DB2">
              <w:rPr>
                <w:rFonts w:ascii="Calibri" w:eastAsia="Times New Roman" w:hAnsi="Calibri" w:cs="Calibri"/>
                <w:color w:val="FF33CC"/>
                <w:lang w:eastAsia="es-EC"/>
              </w:rPr>
              <w:t>0,03</w:t>
            </w:r>
          </w:p>
        </w:tc>
      </w:tr>
      <w:tr w:rsidR="006D5EB6" w:rsidRPr="00F86DB2" w:rsidTr="006D5EB6">
        <w:trPr>
          <w:trHeight w:val="300"/>
        </w:trPr>
        <w:tc>
          <w:tcPr>
            <w:tcW w:w="3881" w:type="dxa"/>
            <w:gridSpan w:val="3"/>
            <w:tcBorders>
              <w:top w:val="single" w:sz="4" w:space="0" w:color="FF9900"/>
              <w:left w:val="single" w:sz="4" w:space="0" w:color="FF9900"/>
              <w:bottom w:val="single" w:sz="4" w:space="0" w:color="FF9900"/>
              <w:right w:val="single" w:sz="4" w:space="0" w:color="FF9900"/>
            </w:tcBorders>
            <w:shd w:val="clear" w:color="auto" w:fill="auto"/>
            <w:noWrap/>
            <w:vAlign w:val="bottom"/>
            <w:hideMark/>
          </w:tcPr>
          <w:p w:rsidR="006D5EB6" w:rsidRPr="00F86DB2" w:rsidRDefault="006D5EB6" w:rsidP="006D5EB6">
            <w:pPr>
              <w:spacing w:after="0" w:line="240" w:lineRule="auto"/>
              <w:rPr>
                <w:rFonts w:ascii="Calibri" w:eastAsia="Times New Roman" w:hAnsi="Calibri" w:cs="Calibri"/>
                <w:color w:val="000000"/>
                <w:lang w:eastAsia="es-EC"/>
              </w:rPr>
            </w:pPr>
            <w:r w:rsidRPr="00F86DB2">
              <w:rPr>
                <w:rFonts w:ascii="Calibri" w:eastAsia="Times New Roman" w:hAnsi="Calibri" w:cs="Calibri"/>
                <w:color w:val="000000"/>
                <w:lang w:eastAsia="es-EC"/>
              </w:rPr>
              <w:t>Gastos Ventas</w:t>
            </w:r>
          </w:p>
        </w:tc>
        <w:tc>
          <w:tcPr>
            <w:tcW w:w="1210" w:type="dxa"/>
            <w:tcBorders>
              <w:top w:val="single" w:sz="4" w:space="0" w:color="FF9900"/>
              <w:left w:val="single" w:sz="4" w:space="0" w:color="FF9900"/>
              <w:bottom w:val="single" w:sz="4" w:space="0" w:color="FF9900"/>
              <w:right w:val="single" w:sz="4" w:space="0" w:color="FF9900"/>
            </w:tcBorders>
            <w:shd w:val="clear" w:color="auto" w:fill="auto"/>
            <w:noWrap/>
            <w:vAlign w:val="bottom"/>
            <w:hideMark/>
          </w:tcPr>
          <w:p w:rsidR="006D5EB6" w:rsidRPr="00F86DB2" w:rsidRDefault="006D5EB6" w:rsidP="006D5EB6">
            <w:pPr>
              <w:spacing w:after="0" w:line="240" w:lineRule="auto"/>
              <w:jc w:val="right"/>
              <w:rPr>
                <w:rFonts w:ascii="Calibri" w:eastAsia="Times New Roman" w:hAnsi="Calibri" w:cs="Calibri"/>
                <w:color w:val="000000"/>
                <w:lang w:eastAsia="es-EC"/>
              </w:rPr>
            </w:pPr>
            <w:r w:rsidRPr="00F86DB2">
              <w:rPr>
                <w:rFonts w:ascii="Calibri" w:eastAsia="Times New Roman" w:hAnsi="Calibri" w:cs="Calibri"/>
                <w:color w:val="000000"/>
                <w:lang w:eastAsia="es-EC"/>
              </w:rPr>
              <w:t>0</w:t>
            </w:r>
          </w:p>
        </w:tc>
        <w:tc>
          <w:tcPr>
            <w:tcW w:w="1508" w:type="dxa"/>
            <w:tcBorders>
              <w:top w:val="single" w:sz="4" w:space="0" w:color="FF9900"/>
              <w:left w:val="single" w:sz="4" w:space="0" w:color="FF9900"/>
              <w:bottom w:val="single" w:sz="4" w:space="0" w:color="FF9900"/>
              <w:right w:val="single" w:sz="4" w:space="0" w:color="FF9900"/>
            </w:tcBorders>
            <w:shd w:val="clear" w:color="auto" w:fill="auto"/>
            <w:noWrap/>
            <w:vAlign w:val="bottom"/>
            <w:hideMark/>
          </w:tcPr>
          <w:p w:rsidR="006D5EB6" w:rsidRPr="00F86DB2" w:rsidRDefault="006D5EB6" w:rsidP="006D5EB6">
            <w:pPr>
              <w:spacing w:after="0" w:line="240" w:lineRule="auto"/>
              <w:jc w:val="right"/>
              <w:rPr>
                <w:rFonts w:ascii="Calibri" w:eastAsia="Times New Roman" w:hAnsi="Calibri" w:cs="Calibri"/>
                <w:color w:val="FF33CC"/>
                <w:lang w:eastAsia="es-EC"/>
              </w:rPr>
            </w:pPr>
            <w:r w:rsidRPr="00F86DB2">
              <w:rPr>
                <w:rFonts w:ascii="Calibri" w:eastAsia="Times New Roman" w:hAnsi="Calibri" w:cs="Calibri"/>
                <w:color w:val="FF33CC"/>
                <w:lang w:eastAsia="es-EC"/>
              </w:rPr>
              <w:t>0</w:t>
            </w:r>
          </w:p>
        </w:tc>
      </w:tr>
      <w:tr w:rsidR="006D5EB6" w:rsidRPr="00F86DB2" w:rsidTr="006D5EB6">
        <w:trPr>
          <w:trHeight w:val="300"/>
        </w:trPr>
        <w:tc>
          <w:tcPr>
            <w:tcW w:w="3881" w:type="dxa"/>
            <w:gridSpan w:val="3"/>
            <w:tcBorders>
              <w:top w:val="single" w:sz="4" w:space="0" w:color="FF9900"/>
              <w:left w:val="single" w:sz="4" w:space="0" w:color="FF9900"/>
              <w:bottom w:val="single" w:sz="4" w:space="0" w:color="FF9900"/>
              <w:right w:val="single" w:sz="4" w:space="0" w:color="FF9900"/>
            </w:tcBorders>
            <w:shd w:val="clear" w:color="auto" w:fill="auto"/>
            <w:noWrap/>
            <w:vAlign w:val="bottom"/>
            <w:hideMark/>
          </w:tcPr>
          <w:p w:rsidR="006D5EB6" w:rsidRPr="00F86DB2" w:rsidRDefault="006D5EB6" w:rsidP="006D5EB6">
            <w:pPr>
              <w:spacing w:after="0" w:line="240" w:lineRule="auto"/>
              <w:rPr>
                <w:rFonts w:ascii="Calibri" w:eastAsia="Times New Roman" w:hAnsi="Calibri" w:cs="Calibri"/>
                <w:b/>
                <w:bCs/>
                <w:color w:val="000000"/>
                <w:lang w:eastAsia="es-EC"/>
              </w:rPr>
            </w:pPr>
            <w:r w:rsidRPr="00F86DB2">
              <w:rPr>
                <w:rFonts w:ascii="Calibri" w:eastAsia="Times New Roman" w:hAnsi="Calibri" w:cs="Calibri"/>
                <w:b/>
                <w:bCs/>
                <w:color w:val="000000"/>
                <w:lang w:eastAsia="es-EC"/>
              </w:rPr>
              <w:t>UTILIDAD OPERATIVA</w:t>
            </w:r>
          </w:p>
        </w:tc>
        <w:tc>
          <w:tcPr>
            <w:tcW w:w="1210" w:type="dxa"/>
            <w:tcBorders>
              <w:top w:val="single" w:sz="4" w:space="0" w:color="FF9900"/>
              <w:left w:val="single" w:sz="4" w:space="0" w:color="FF9900"/>
              <w:bottom w:val="single" w:sz="4" w:space="0" w:color="FF9900"/>
              <w:right w:val="single" w:sz="4" w:space="0" w:color="FF9900"/>
            </w:tcBorders>
            <w:shd w:val="clear" w:color="auto" w:fill="auto"/>
            <w:noWrap/>
            <w:vAlign w:val="bottom"/>
            <w:hideMark/>
          </w:tcPr>
          <w:p w:rsidR="006D5EB6" w:rsidRPr="00F86DB2" w:rsidRDefault="006D5EB6" w:rsidP="006D5EB6">
            <w:pPr>
              <w:spacing w:after="0" w:line="240" w:lineRule="auto"/>
              <w:jc w:val="right"/>
              <w:rPr>
                <w:rFonts w:ascii="Calibri" w:eastAsia="Times New Roman" w:hAnsi="Calibri" w:cs="Calibri"/>
                <w:b/>
                <w:bCs/>
                <w:color w:val="000000"/>
                <w:lang w:eastAsia="es-EC"/>
              </w:rPr>
            </w:pPr>
            <w:r w:rsidRPr="00F86DB2">
              <w:rPr>
                <w:rFonts w:ascii="Calibri" w:eastAsia="Times New Roman" w:hAnsi="Calibri" w:cs="Calibri"/>
                <w:b/>
                <w:bCs/>
                <w:color w:val="000000"/>
                <w:lang w:eastAsia="es-EC"/>
              </w:rPr>
              <w:t>-29.911,14</w:t>
            </w:r>
          </w:p>
        </w:tc>
        <w:tc>
          <w:tcPr>
            <w:tcW w:w="1508" w:type="dxa"/>
            <w:tcBorders>
              <w:top w:val="single" w:sz="4" w:space="0" w:color="FF9900"/>
              <w:left w:val="single" w:sz="4" w:space="0" w:color="FF9900"/>
              <w:bottom w:val="single" w:sz="4" w:space="0" w:color="FF9900"/>
              <w:right w:val="single" w:sz="4" w:space="0" w:color="FF9900"/>
            </w:tcBorders>
            <w:shd w:val="clear" w:color="auto" w:fill="auto"/>
            <w:noWrap/>
            <w:vAlign w:val="bottom"/>
            <w:hideMark/>
          </w:tcPr>
          <w:p w:rsidR="006D5EB6" w:rsidRPr="00F86DB2" w:rsidRDefault="006D5EB6" w:rsidP="006D5EB6">
            <w:pPr>
              <w:spacing w:after="0" w:line="240" w:lineRule="auto"/>
              <w:rPr>
                <w:rFonts w:ascii="Calibri" w:eastAsia="Times New Roman" w:hAnsi="Calibri" w:cs="Calibri"/>
                <w:color w:val="000000"/>
                <w:lang w:eastAsia="es-EC"/>
              </w:rPr>
            </w:pPr>
            <w:r w:rsidRPr="00F86DB2">
              <w:rPr>
                <w:rFonts w:ascii="Calibri" w:eastAsia="Times New Roman" w:hAnsi="Calibri" w:cs="Calibri"/>
                <w:color w:val="000000"/>
                <w:lang w:eastAsia="es-EC"/>
              </w:rPr>
              <w:t> </w:t>
            </w:r>
          </w:p>
        </w:tc>
      </w:tr>
    </w:tbl>
    <w:p w:rsidR="006D5EB6" w:rsidRDefault="006D5EB6" w:rsidP="006D5EB6">
      <w:pPr>
        <w:spacing w:after="0" w:line="240" w:lineRule="auto"/>
        <w:jc w:val="center"/>
        <w:rPr>
          <w:rFonts w:ascii="Calibri" w:eastAsia="Times New Roman" w:hAnsi="Calibri" w:cs="Calibri"/>
          <w:b/>
          <w:bCs/>
          <w:color w:val="4F81BD"/>
          <w:lang w:eastAsia="es-EC"/>
        </w:rPr>
      </w:pPr>
    </w:p>
    <w:tbl>
      <w:tblPr>
        <w:tblW w:w="6566" w:type="dxa"/>
        <w:tblInd w:w="65" w:type="dxa"/>
        <w:tblBorders>
          <w:top w:val="single" w:sz="4" w:space="0" w:color="5DEFF6" w:themeColor="accent3" w:themeTint="99"/>
          <w:left w:val="single" w:sz="4" w:space="0" w:color="5DEFF6" w:themeColor="accent3" w:themeTint="99"/>
          <w:bottom w:val="single" w:sz="4" w:space="0" w:color="5DEFF6" w:themeColor="accent3" w:themeTint="99"/>
          <w:right w:val="single" w:sz="4" w:space="0" w:color="5DEFF6" w:themeColor="accent3" w:themeTint="99"/>
          <w:insideH w:val="single" w:sz="4" w:space="0" w:color="5DEFF6" w:themeColor="accent3" w:themeTint="99"/>
          <w:insideV w:val="single" w:sz="4" w:space="0" w:color="5DEFF6" w:themeColor="accent3" w:themeTint="99"/>
        </w:tblBorders>
        <w:tblCellMar>
          <w:left w:w="70" w:type="dxa"/>
          <w:right w:w="70" w:type="dxa"/>
        </w:tblCellMar>
        <w:tblLook w:val="04A0"/>
      </w:tblPr>
      <w:tblGrid>
        <w:gridCol w:w="3887"/>
        <w:gridCol w:w="1143"/>
        <w:gridCol w:w="1563"/>
      </w:tblGrid>
      <w:tr w:rsidR="006D5EB6" w:rsidRPr="00F86DB2" w:rsidTr="006D5EB6">
        <w:trPr>
          <w:trHeight w:val="280"/>
        </w:trPr>
        <w:tc>
          <w:tcPr>
            <w:tcW w:w="3887" w:type="dxa"/>
            <w:shd w:val="clear" w:color="auto" w:fill="auto"/>
            <w:noWrap/>
            <w:vAlign w:val="bottom"/>
            <w:hideMark/>
          </w:tcPr>
          <w:p w:rsidR="006D5EB6" w:rsidRPr="00F86DB2" w:rsidRDefault="006D5EB6" w:rsidP="006D5EB6">
            <w:pPr>
              <w:spacing w:after="0" w:line="240" w:lineRule="auto"/>
              <w:rPr>
                <w:rFonts w:ascii="Calibri" w:eastAsia="Times New Roman" w:hAnsi="Calibri" w:cs="Calibri"/>
                <w:color w:val="000000"/>
                <w:lang w:eastAsia="es-EC"/>
              </w:rPr>
            </w:pPr>
            <w:r w:rsidRPr="00F86DB2">
              <w:rPr>
                <w:rFonts w:ascii="Calibri" w:eastAsia="Times New Roman" w:hAnsi="Calibri" w:cs="Calibri"/>
                <w:color w:val="000000"/>
                <w:lang w:eastAsia="es-EC"/>
              </w:rPr>
              <w:t>Gastos Financieros</w:t>
            </w:r>
          </w:p>
        </w:tc>
        <w:tc>
          <w:tcPr>
            <w:tcW w:w="1116" w:type="dxa"/>
            <w:shd w:val="clear" w:color="auto" w:fill="auto"/>
            <w:noWrap/>
            <w:vAlign w:val="bottom"/>
            <w:hideMark/>
          </w:tcPr>
          <w:p w:rsidR="006D5EB6" w:rsidRPr="00F86DB2" w:rsidRDefault="006D5EB6" w:rsidP="006D5EB6">
            <w:pPr>
              <w:spacing w:after="0" w:line="240" w:lineRule="auto"/>
              <w:jc w:val="right"/>
              <w:rPr>
                <w:rFonts w:ascii="Calibri" w:eastAsia="Times New Roman" w:hAnsi="Calibri" w:cs="Calibri"/>
                <w:color w:val="000000"/>
                <w:lang w:eastAsia="es-EC"/>
              </w:rPr>
            </w:pPr>
            <w:r w:rsidRPr="00F86DB2">
              <w:rPr>
                <w:rFonts w:ascii="Calibri" w:eastAsia="Times New Roman" w:hAnsi="Calibri" w:cs="Calibri"/>
                <w:color w:val="000000"/>
                <w:lang w:eastAsia="es-EC"/>
              </w:rPr>
              <w:t>0</w:t>
            </w:r>
          </w:p>
        </w:tc>
        <w:tc>
          <w:tcPr>
            <w:tcW w:w="1563" w:type="dxa"/>
            <w:shd w:val="clear" w:color="auto" w:fill="auto"/>
            <w:noWrap/>
            <w:vAlign w:val="bottom"/>
            <w:hideMark/>
          </w:tcPr>
          <w:p w:rsidR="006D5EB6" w:rsidRPr="00F86DB2" w:rsidRDefault="006D5EB6" w:rsidP="006D5EB6">
            <w:pPr>
              <w:spacing w:after="0" w:line="240" w:lineRule="auto"/>
              <w:jc w:val="right"/>
              <w:rPr>
                <w:rFonts w:ascii="Calibri" w:eastAsia="Times New Roman" w:hAnsi="Calibri" w:cs="Calibri"/>
                <w:color w:val="FF33CC"/>
                <w:lang w:eastAsia="es-EC"/>
              </w:rPr>
            </w:pPr>
            <w:r w:rsidRPr="00F86DB2">
              <w:rPr>
                <w:rFonts w:ascii="Calibri" w:eastAsia="Times New Roman" w:hAnsi="Calibri" w:cs="Calibri"/>
                <w:color w:val="FF33CC"/>
                <w:lang w:eastAsia="es-EC"/>
              </w:rPr>
              <w:t>0</w:t>
            </w:r>
          </w:p>
        </w:tc>
      </w:tr>
      <w:tr w:rsidR="006D5EB6" w:rsidRPr="00F86DB2" w:rsidTr="006D5EB6">
        <w:trPr>
          <w:trHeight w:val="280"/>
        </w:trPr>
        <w:tc>
          <w:tcPr>
            <w:tcW w:w="3887" w:type="dxa"/>
            <w:shd w:val="clear" w:color="auto" w:fill="auto"/>
            <w:noWrap/>
            <w:vAlign w:val="bottom"/>
            <w:hideMark/>
          </w:tcPr>
          <w:p w:rsidR="006D5EB6" w:rsidRPr="00F86DB2" w:rsidRDefault="006D5EB6" w:rsidP="006D5EB6">
            <w:pPr>
              <w:spacing w:after="0" w:line="240" w:lineRule="auto"/>
              <w:rPr>
                <w:rFonts w:ascii="Calibri" w:eastAsia="Times New Roman" w:hAnsi="Calibri" w:cs="Calibri"/>
                <w:color w:val="000000"/>
                <w:lang w:eastAsia="es-EC"/>
              </w:rPr>
            </w:pPr>
            <w:r w:rsidRPr="00F86DB2">
              <w:rPr>
                <w:rFonts w:ascii="Calibri" w:eastAsia="Times New Roman" w:hAnsi="Calibri" w:cs="Calibri"/>
                <w:color w:val="000000"/>
                <w:lang w:eastAsia="es-EC"/>
              </w:rPr>
              <w:t>Ingresos no Operativos</w:t>
            </w:r>
          </w:p>
        </w:tc>
        <w:tc>
          <w:tcPr>
            <w:tcW w:w="1116" w:type="dxa"/>
            <w:shd w:val="clear" w:color="auto" w:fill="auto"/>
            <w:noWrap/>
            <w:vAlign w:val="bottom"/>
            <w:hideMark/>
          </w:tcPr>
          <w:p w:rsidR="006D5EB6" w:rsidRPr="00F86DB2" w:rsidRDefault="006D5EB6" w:rsidP="006D5EB6">
            <w:pPr>
              <w:spacing w:after="0" w:line="240" w:lineRule="auto"/>
              <w:jc w:val="right"/>
              <w:rPr>
                <w:rFonts w:ascii="Calibri" w:eastAsia="Times New Roman" w:hAnsi="Calibri" w:cs="Calibri"/>
                <w:color w:val="000000"/>
                <w:lang w:eastAsia="es-EC"/>
              </w:rPr>
            </w:pPr>
            <w:r w:rsidRPr="00F86DB2">
              <w:rPr>
                <w:rFonts w:ascii="Calibri" w:eastAsia="Times New Roman" w:hAnsi="Calibri" w:cs="Calibri"/>
                <w:color w:val="000000"/>
                <w:lang w:eastAsia="es-EC"/>
              </w:rPr>
              <w:t>133.211,45</w:t>
            </w:r>
          </w:p>
        </w:tc>
        <w:tc>
          <w:tcPr>
            <w:tcW w:w="1563" w:type="dxa"/>
            <w:shd w:val="clear" w:color="auto" w:fill="auto"/>
            <w:noWrap/>
            <w:vAlign w:val="bottom"/>
            <w:hideMark/>
          </w:tcPr>
          <w:p w:rsidR="006D5EB6" w:rsidRPr="00F86DB2" w:rsidRDefault="006D5EB6" w:rsidP="006D5EB6">
            <w:pPr>
              <w:spacing w:after="0" w:line="240" w:lineRule="auto"/>
              <w:jc w:val="right"/>
              <w:rPr>
                <w:rFonts w:ascii="Calibri" w:eastAsia="Times New Roman" w:hAnsi="Calibri" w:cs="Calibri"/>
                <w:color w:val="FF33CC"/>
                <w:lang w:eastAsia="es-EC"/>
              </w:rPr>
            </w:pPr>
            <w:r>
              <w:rPr>
                <w:rFonts w:ascii="Calibri" w:eastAsia="Times New Roman" w:hAnsi="Calibri" w:cs="Calibri"/>
                <w:noProof/>
                <w:color w:val="FF33CC"/>
                <w:lang w:eastAsia="es-EC"/>
              </w:rPr>
              <w:pict>
                <v:shape id="_x0000_s1033" type="#_x0000_t106" style="position:absolute;left:0;text-align:left;margin-left:78.75pt;margin-top:5.6pt;width:110.05pt;height:64.35pt;z-index:251670528;mso-position-horizontal-relative:text;mso-position-vertical-relative:text" adj="1786,21147" fillcolor="white [3201]" strokecolor="#93f4f9 [1302]" strokeweight="2.5pt">
                  <v:shadow color="#868686"/>
                  <v:textbox>
                    <w:txbxContent>
                      <w:p w:rsidR="006D5EB6" w:rsidRDefault="006D5EB6" w:rsidP="006D5EB6">
                        <w:r>
                          <w:t>ESTRUCTURA FINANCIERA</w:t>
                        </w:r>
                      </w:p>
                    </w:txbxContent>
                  </v:textbox>
                </v:shape>
              </w:pict>
            </w:r>
            <w:r w:rsidRPr="00F86DB2">
              <w:rPr>
                <w:rFonts w:ascii="Calibri" w:eastAsia="Times New Roman" w:hAnsi="Calibri" w:cs="Calibri"/>
                <w:color w:val="FF33CC"/>
                <w:lang w:eastAsia="es-EC"/>
              </w:rPr>
              <w:t>3,92</w:t>
            </w:r>
          </w:p>
        </w:tc>
      </w:tr>
      <w:tr w:rsidR="006D5EB6" w:rsidRPr="00F86DB2" w:rsidTr="006D5EB6">
        <w:trPr>
          <w:trHeight w:val="280"/>
        </w:trPr>
        <w:tc>
          <w:tcPr>
            <w:tcW w:w="3887" w:type="dxa"/>
            <w:shd w:val="clear" w:color="auto" w:fill="auto"/>
            <w:noWrap/>
            <w:vAlign w:val="bottom"/>
            <w:hideMark/>
          </w:tcPr>
          <w:p w:rsidR="006D5EB6" w:rsidRPr="00F86DB2" w:rsidRDefault="006D5EB6" w:rsidP="006D5EB6">
            <w:pPr>
              <w:spacing w:after="0" w:line="240" w:lineRule="auto"/>
              <w:rPr>
                <w:rFonts w:ascii="Calibri" w:eastAsia="Times New Roman" w:hAnsi="Calibri" w:cs="Calibri"/>
                <w:color w:val="000000"/>
                <w:lang w:eastAsia="es-EC"/>
              </w:rPr>
            </w:pPr>
            <w:r w:rsidRPr="00F86DB2">
              <w:rPr>
                <w:rFonts w:ascii="Calibri" w:eastAsia="Times New Roman" w:hAnsi="Calibri" w:cs="Calibri"/>
                <w:color w:val="000000"/>
                <w:lang w:eastAsia="es-EC"/>
              </w:rPr>
              <w:t xml:space="preserve">Egresos no Operativos </w:t>
            </w:r>
          </w:p>
        </w:tc>
        <w:tc>
          <w:tcPr>
            <w:tcW w:w="1116" w:type="dxa"/>
            <w:shd w:val="clear" w:color="auto" w:fill="auto"/>
            <w:noWrap/>
            <w:vAlign w:val="bottom"/>
            <w:hideMark/>
          </w:tcPr>
          <w:p w:rsidR="006D5EB6" w:rsidRPr="00F86DB2" w:rsidRDefault="006D5EB6" w:rsidP="006D5EB6">
            <w:pPr>
              <w:spacing w:after="0" w:line="240" w:lineRule="auto"/>
              <w:jc w:val="right"/>
              <w:rPr>
                <w:rFonts w:ascii="Calibri" w:eastAsia="Times New Roman" w:hAnsi="Calibri" w:cs="Calibri"/>
                <w:color w:val="000000"/>
                <w:lang w:eastAsia="es-EC"/>
              </w:rPr>
            </w:pPr>
            <w:r w:rsidRPr="00F86DB2">
              <w:rPr>
                <w:rFonts w:ascii="Calibri" w:eastAsia="Times New Roman" w:hAnsi="Calibri" w:cs="Calibri"/>
                <w:color w:val="000000"/>
                <w:lang w:eastAsia="es-EC"/>
              </w:rPr>
              <w:t>94.376,52</w:t>
            </w:r>
          </w:p>
        </w:tc>
        <w:tc>
          <w:tcPr>
            <w:tcW w:w="1563" w:type="dxa"/>
            <w:shd w:val="clear" w:color="auto" w:fill="auto"/>
            <w:noWrap/>
            <w:vAlign w:val="bottom"/>
            <w:hideMark/>
          </w:tcPr>
          <w:p w:rsidR="006D5EB6" w:rsidRPr="00F86DB2" w:rsidRDefault="006D5EB6" w:rsidP="006D5EB6">
            <w:pPr>
              <w:spacing w:after="0" w:line="240" w:lineRule="auto"/>
              <w:jc w:val="right"/>
              <w:rPr>
                <w:rFonts w:ascii="Calibri" w:eastAsia="Times New Roman" w:hAnsi="Calibri" w:cs="Calibri"/>
                <w:color w:val="FF33CC"/>
                <w:lang w:eastAsia="es-EC"/>
              </w:rPr>
            </w:pPr>
            <w:r w:rsidRPr="00F86DB2">
              <w:rPr>
                <w:rFonts w:ascii="Calibri" w:eastAsia="Times New Roman" w:hAnsi="Calibri" w:cs="Calibri"/>
                <w:color w:val="FF33CC"/>
                <w:lang w:eastAsia="es-EC"/>
              </w:rPr>
              <w:t>2,78</w:t>
            </w:r>
          </w:p>
        </w:tc>
      </w:tr>
      <w:tr w:rsidR="006D5EB6" w:rsidRPr="00F86DB2" w:rsidTr="006D5EB6">
        <w:trPr>
          <w:trHeight w:val="280"/>
        </w:trPr>
        <w:tc>
          <w:tcPr>
            <w:tcW w:w="3887" w:type="dxa"/>
            <w:shd w:val="clear" w:color="auto" w:fill="auto"/>
            <w:noWrap/>
            <w:vAlign w:val="bottom"/>
            <w:hideMark/>
          </w:tcPr>
          <w:p w:rsidR="006D5EB6" w:rsidRPr="00F86DB2" w:rsidRDefault="006D5EB6" w:rsidP="006D5EB6">
            <w:pPr>
              <w:spacing w:after="0" w:line="240" w:lineRule="auto"/>
              <w:rPr>
                <w:rFonts w:ascii="Calibri" w:eastAsia="Times New Roman" w:hAnsi="Calibri" w:cs="Calibri"/>
                <w:b/>
                <w:bCs/>
                <w:color w:val="000000"/>
                <w:lang w:eastAsia="es-EC"/>
              </w:rPr>
            </w:pPr>
            <w:r w:rsidRPr="00F86DB2">
              <w:rPr>
                <w:rFonts w:ascii="Calibri" w:eastAsia="Times New Roman" w:hAnsi="Calibri" w:cs="Calibri"/>
                <w:b/>
                <w:bCs/>
                <w:color w:val="000000"/>
                <w:lang w:eastAsia="es-EC"/>
              </w:rPr>
              <w:t>UTILIDAD ANTES DE IMPUESTOS</w:t>
            </w:r>
          </w:p>
        </w:tc>
        <w:tc>
          <w:tcPr>
            <w:tcW w:w="1116" w:type="dxa"/>
            <w:shd w:val="clear" w:color="auto" w:fill="auto"/>
            <w:noWrap/>
            <w:vAlign w:val="bottom"/>
            <w:hideMark/>
          </w:tcPr>
          <w:p w:rsidR="006D5EB6" w:rsidRPr="00F86DB2" w:rsidRDefault="006D5EB6" w:rsidP="006D5EB6">
            <w:pPr>
              <w:spacing w:after="0" w:line="240" w:lineRule="auto"/>
              <w:jc w:val="right"/>
              <w:rPr>
                <w:rFonts w:ascii="Calibri" w:eastAsia="Times New Roman" w:hAnsi="Calibri" w:cs="Calibri"/>
                <w:b/>
                <w:bCs/>
                <w:color w:val="000000"/>
                <w:lang w:eastAsia="es-EC"/>
              </w:rPr>
            </w:pPr>
            <w:r w:rsidRPr="00F86DB2">
              <w:rPr>
                <w:rFonts w:ascii="Calibri" w:eastAsia="Times New Roman" w:hAnsi="Calibri" w:cs="Calibri"/>
                <w:b/>
                <w:bCs/>
                <w:color w:val="000000"/>
                <w:lang w:eastAsia="es-EC"/>
              </w:rPr>
              <w:t>8.923,79</w:t>
            </w:r>
          </w:p>
        </w:tc>
        <w:tc>
          <w:tcPr>
            <w:tcW w:w="1563" w:type="dxa"/>
            <w:shd w:val="clear" w:color="auto" w:fill="auto"/>
            <w:noWrap/>
            <w:vAlign w:val="bottom"/>
            <w:hideMark/>
          </w:tcPr>
          <w:p w:rsidR="006D5EB6" w:rsidRPr="00F86DB2" w:rsidRDefault="006D5EB6" w:rsidP="006D5EB6">
            <w:pPr>
              <w:spacing w:after="0" w:line="240" w:lineRule="auto"/>
              <w:rPr>
                <w:rFonts w:ascii="Calibri" w:eastAsia="Times New Roman" w:hAnsi="Calibri" w:cs="Calibri"/>
                <w:color w:val="FF33CC"/>
                <w:lang w:eastAsia="es-EC"/>
              </w:rPr>
            </w:pPr>
            <w:r w:rsidRPr="00F86DB2">
              <w:rPr>
                <w:rFonts w:ascii="Calibri" w:eastAsia="Times New Roman" w:hAnsi="Calibri" w:cs="Calibri"/>
                <w:color w:val="FF33CC"/>
                <w:lang w:eastAsia="es-EC"/>
              </w:rPr>
              <w:t> </w:t>
            </w:r>
          </w:p>
        </w:tc>
      </w:tr>
      <w:tr w:rsidR="006D5EB6" w:rsidRPr="00F86DB2" w:rsidTr="006D5EB6">
        <w:trPr>
          <w:trHeight w:val="280"/>
        </w:trPr>
        <w:tc>
          <w:tcPr>
            <w:tcW w:w="3887" w:type="dxa"/>
            <w:shd w:val="clear" w:color="auto" w:fill="auto"/>
            <w:noWrap/>
            <w:vAlign w:val="bottom"/>
            <w:hideMark/>
          </w:tcPr>
          <w:p w:rsidR="006D5EB6" w:rsidRPr="00F86DB2" w:rsidRDefault="006D5EB6" w:rsidP="006D5EB6">
            <w:pPr>
              <w:spacing w:after="0" w:line="240" w:lineRule="auto"/>
              <w:rPr>
                <w:rFonts w:ascii="Calibri" w:eastAsia="Times New Roman" w:hAnsi="Calibri" w:cs="Calibri"/>
                <w:color w:val="000000"/>
                <w:lang w:eastAsia="es-EC"/>
              </w:rPr>
            </w:pPr>
            <w:r>
              <w:rPr>
                <w:rFonts w:ascii="Calibri" w:eastAsia="Times New Roman" w:hAnsi="Calibri" w:cs="Calibri"/>
                <w:color w:val="000000"/>
                <w:lang w:eastAsia="es-EC"/>
              </w:rPr>
              <w:t xml:space="preserve"> </w:t>
            </w:r>
            <w:r w:rsidRPr="00F86DB2">
              <w:rPr>
                <w:rFonts w:ascii="Calibri" w:eastAsia="Times New Roman" w:hAnsi="Calibri" w:cs="Calibri"/>
                <w:color w:val="000000"/>
                <w:lang w:eastAsia="es-EC"/>
              </w:rPr>
              <w:t>15% Participación Trabajadores</w:t>
            </w:r>
          </w:p>
        </w:tc>
        <w:tc>
          <w:tcPr>
            <w:tcW w:w="1116" w:type="dxa"/>
            <w:shd w:val="clear" w:color="auto" w:fill="auto"/>
            <w:noWrap/>
            <w:vAlign w:val="bottom"/>
            <w:hideMark/>
          </w:tcPr>
          <w:p w:rsidR="006D5EB6" w:rsidRPr="00F86DB2" w:rsidRDefault="006D5EB6" w:rsidP="006D5EB6">
            <w:pPr>
              <w:spacing w:after="0" w:line="240" w:lineRule="auto"/>
              <w:jc w:val="right"/>
              <w:rPr>
                <w:rFonts w:ascii="Calibri" w:eastAsia="Times New Roman" w:hAnsi="Calibri" w:cs="Calibri"/>
                <w:color w:val="000000"/>
                <w:lang w:eastAsia="es-EC"/>
              </w:rPr>
            </w:pPr>
            <w:r w:rsidRPr="00F86DB2">
              <w:rPr>
                <w:rFonts w:ascii="Calibri" w:eastAsia="Times New Roman" w:hAnsi="Calibri" w:cs="Calibri"/>
                <w:color w:val="000000"/>
                <w:lang w:eastAsia="es-EC"/>
              </w:rPr>
              <w:t>1338,57</w:t>
            </w:r>
          </w:p>
        </w:tc>
        <w:tc>
          <w:tcPr>
            <w:tcW w:w="1563" w:type="dxa"/>
            <w:shd w:val="clear" w:color="auto" w:fill="auto"/>
            <w:noWrap/>
            <w:vAlign w:val="bottom"/>
            <w:hideMark/>
          </w:tcPr>
          <w:p w:rsidR="006D5EB6" w:rsidRPr="00F86DB2" w:rsidRDefault="006D5EB6" w:rsidP="006D5EB6">
            <w:pPr>
              <w:spacing w:after="0" w:line="240" w:lineRule="auto"/>
              <w:jc w:val="right"/>
              <w:rPr>
                <w:rFonts w:ascii="Calibri" w:eastAsia="Times New Roman" w:hAnsi="Calibri" w:cs="Calibri"/>
                <w:color w:val="FF33CC"/>
                <w:lang w:eastAsia="es-EC"/>
              </w:rPr>
            </w:pPr>
            <w:r w:rsidRPr="00F86DB2">
              <w:rPr>
                <w:rFonts w:ascii="Calibri" w:eastAsia="Times New Roman" w:hAnsi="Calibri" w:cs="Calibri"/>
                <w:color w:val="FF33CC"/>
                <w:lang w:eastAsia="es-EC"/>
              </w:rPr>
              <w:t>0,04</w:t>
            </w:r>
          </w:p>
        </w:tc>
      </w:tr>
      <w:tr w:rsidR="006D5EB6" w:rsidRPr="00F86DB2" w:rsidTr="006D5EB6">
        <w:trPr>
          <w:trHeight w:val="280"/>
        </w:trPr>
        <w:tc>
          <w:tcPr>
            <w:tcW w:w="3887" w:type="dxa"/>
            <w:shd w:val="clear" w:color="auto" w:fill="auto"/>
            <w:noWrap/>
            <w:vAlign w:val="bottom"/>
            <w:hideMark/>
          </w:tcPr>
          <w:p w:rsidR="006D5EB6" w:rsidRPr="00F86DB2" w:rsidRDefault="006D5EB6" w:rsidP="006D5EB6">
            <w:pPr>
              <w:spacing w:after="0" w:line="240" w:lineRule="auto"/>
              <w:rPr>
                <w:rFonts w:ascii="Calibri" w:eastAsia="Times New Roman" w:hAnsi="Calibri" w:cs="Calibri"/>
                <w:color w:val="000000"/>
                <w:lang w:eastAsia="es-EC"/>
              </w:rPr>
            </w:pPr>
            <w:r w:rsidRPr="00F86DB2">
              <w:rPr>
                <w:rFonts w:ascii="Calibri" w:eastAsia="Times New Roman" w:hAnsi="Calibri" w:cs="Calibri"/>
                <w:color w:val="000000"/>
                <w:lang w:eastAsia="es-EC"/>
              </w:rPr>
              <w:t>24% Impuesto a la Renta</w:t>
            </w:r>
          </w:p>
        </w:tc>
        <w:tc>
          <w:tcPr>
            <w:tcW w:w="1116" w:type="dxa"/>
            <w:shd w:val="clear" w:color="auto" w:fill="auto"/>
            <w:noWrap/>
            <w:vAlign w:val="bottom"/>
            <w:hideMark/>
          </w:tcPr>
          <w:p w:rsidR="006D5EB6" w:rsidRPr="00F86DB2" w:rsidRDefault="006D5EB6" w:rsidP="006D5EB6">
            <w:pPr>
              <w:spacing w:after="0" w:line="240" w:lineRule="auto"/>
              <w:jc w:val="right"/>
              <w:rPr>
                <w:rFonts w:ascii="Calibri" w:eastAsia="Times New Roman" w:hAnsi="Calibri" w:cs="Calibri"/>
                <w:color w:val="000000"/>
                <w:lang w:eastAsia="es-EC"/>
              </w:rPr>
            </w:pPr>
            <w:r w:rsidRPr="00F86DB2">
              <w:rPr>
                <w:rFonts w:ascii="Calibri" w:eastAsia="Times New Roman" w:hAnsi="Calibri" w:cs="Calibri"/>
                <w:color w:val="000000"/>
                <w:lang w:eastAsia="es-EC"/>
              </w:rPr>
              <w:t>1820,45</w:t>
            </w:r>
          </w:p>
        </w:tc>
        <w:tc>
          <w:tcPr>
            <w:tcW w:w="1563" w:type="dxa"/>
            <w:shd w:val="clear" w:color="auto" w:fill="auto"/>
            <w:noWrap/>
            <w:vAlign w:val="bottom"/>
            <w:hideMark/>
          </w:tcPr>
          <w:p w:rsidR="006D5EB6" w:rsidRPr="00F86DB2" w:rsidRDefault="006D5EB6" w:rsidP="006D5EB6">
            <w:pPr>
              <w:spacing w:after="0" w:line="240" w:lineRule="auto"/>
              <w:jc w:val="right"/>
              <w:rPr>
                <w:rFonts w:ascii="Calibri" w:eastAsia="Times New Roman" w:hAnsi="Calibri" w:cs="Calibri"/>
                <w:color w:val="FF33CC"/>
                <w:lang w:eastAsia="es-EC"/>
              </w:rPr>
            </w:pPr>
            <w:r w:rsidRPr="00F86DB2">
              <w:rPr>
                <w:rFonts w:ascii="Calibri" w:eastAsia="Times New Roman" w:hAnsi="Calibri" w:cs="Calibri"/>
                <w:color w:val="FF33CC"/>
                <w:lang w:eastAsia="es-EC"/>
              </w:rPr>
              <w:t>0,05</w:t>
            </w:r>
          </w:p>
        </w:tc>
      </w:tr>
      <w:tr w:rsidR="006D5EB6" w:rsidRPr="00F86DB2" w:rsidTr="006D5EB6">
        <w:trPr>
          <w:trHeight w:val="280"/>
        </w:trPr>
        <w:tc>
          <w:tcPr>
            <w:tcW w:w="3887" w:type="dxa"/>
            <w:shd w:val="clear" w:color="auto" w:fill="auto"/>
            <w:noWrap/>
            <w:vAlign w:val="bottom"/>
            <w:hideMark/>
          </w:tcPr>
          <w:p w:rsidR="006D5EB6" w:rsidRPr="00F86DB2" w:rsidRDefault="006D5EB6" w:rsidP="006D5EB6">
            <w:pPr>
              <w:spacing w:after="0" w:line="240" w:lineRule="auto"/>
              <w:rPr>
                <w:rFonts w:ascii="Calibri" w:eastAsia="Times New Roman" w:hAnsi="Calibri" w:cs="Calibri"/>
                <w:color w:val="000000"/>
                <w:lang w:eastAsia="es-EC"/>
              </w:rPr>
            </w:pPr>
            <w:r w:rsidRPr="00F86DB2">
              <w:rPr>
                <w:rFonts w:ascii="Calibri" w:eastAsia="Times New Roman" w:hAnsi="Calibri" w:cs="Calibri"/>
                <w:color w:val="000000"/>
                <w:lang w:eastAsia="es-EC"/>
              </w:rPr>
              <w:t> </w:t>
            </w:r>
          </w:p>
        </w:tc>
        <w:tc>
          <w:tcPr>
            <w:tcW w:w="1116" w:type="dxa"/>
            <w:shd w:val="clear" w:color="auto" w:fill="auto"/>
            <w:noWrap/>
            <w:vAlign w:val="bottom"/>
            <w:hideMark/>
          </w:tcPr>
          <w:p w:rsidR="006D5EB6" w:rsidRPr="00F86DB2" w:rsidRDefault="006D5EB6" w:rsidP="006D5EB6">
            <w:pPr>
              <w:spacing w:after="0" w:line="240" w:lineRule="auto"/>
              <w:rPr>
                <w:rFonts w:ascii="Calibri" w:eastAsia="Times New Roman" w:hAnsi="Calibri" w:cs="Calibri"/>
                <w:color w:val="000000"/>
                <w:lang w:eastAsia="es-EC"/>
              </w:rPr>
            </w:pPr>
            <w:r w:rsidRPr="00F86DB2">
              <w:rPr>
                <w:rFonts w:ascii="Calibri" w:eastAsia="Times New Roman" w:hAnsi="Calibri" w:cs="Calibri"/>
                <w:color w:val="000000"/>
                <w:lang w:eastAsia="es-EC"/>
              </w:rPr>
              <w:t> </w:t>
            </w:r>
          </w:p>
        </w:tc>
        <w:tc>
          <w:tcPr>
            <w:tcW w:w="1563" w:type="dxa"/>
            <w:shd w:val="clear" w:color="auto" w:fill="auto"/>
            <w:noWrap/>
            <w:vAlign w:val="bottom"/>
            <w:hideMark/>
          </w:tcPr>
          <w:p w:rsidR="006D5EB6" w:rsidRPr="00F86DB2" w:rsidRDefault="006D5EB6" w:rsidP="006D5EB6">
            <w:pPr>
              <w:spacing w:after="0" w:line="240" w:lineRule="auto"/>
              <w:rPr>
                <w:rFonts w:ascii="Calibri" w:eastAsia="Times New Roman" w:hAnsi="Calibri" w:cs="Calibri"/>
                <w:color w:val="FF33CC"/>
                <w:lang w:eastAsia="es-EC"/>
              </w:rPr>
            </w:pPr>
            <w:r w:rsidRPr="00F86DB2">
              <w:rPr>
                <w:rFonts w:ascii="Calibri" w:eastAsia="Times New Roman" w:hAnsi="Calibri" w:cs="Calibri"/>
                <w:color w:val="FF33CC"/>
                <w:lang w:eastAsia="es-EC"/>
              </w:rPr>
              <w:t> </w:t>
            </w:r>
          </w:p>
        </w:tc>
      </w:tr>
      <w:tr w:rsidR="006D5EB6" w:rsidRPr="00F86DB2" w:rsidTr="006D5EB6">
        <w:trPr>
          <w:trHeight w:val="280"/>
        </w:trPr>
        <w:tc>
          <w:tcPr>
            <w:tcW w:w="3887" w:type="dxa"/>
            <w:shd w:val="clear" w:color="auto" w:fill="auto"/>
            <w:noWrap/>
            <w:vAlign w:val="bottom"/>
            <w:hideMark/>
          </w:tcPr>
          <w:p w:rsidR="006D5EB6" w:rsidRPr="00F86DB2" w:rsidRDefault="006D5EB6" w:rsidP="006D5EB6">
            <w:pPr>
              <w:spacing w:after="0" w:line="240" w:lineRule="auto"/>
              <w:rPr>
                <w:rFonts w:ascii="Calibri" w:eastAsia="Times New Roman" w:hAnsi="Calibri" w:cs="Calibri"/>
                <w:b/>
                <w:bCs/>
                <w:color w:val="000000"/>
                <w:lang w:eastAsia="es-EC"/>
              </w:rPr>
            </w:pPr>
            <w:r w:rsidRPr="00F86DB2">
              <w:rPr>
                <w:rFonts w:ascii="Calibri" w:eastAsia="Times New Roman" w:hAnsi="Calibri" w:cs="Calibri"/>
                <w:b/>
                <w:bCs/>
                <w:color w:val="000000"/>
                <w:lang w:eastAsia="es-EC"/>
              </w:rPr>
              <w:t>UTILIDAD NETA</w:t>
            </w:r>
          </w:p>
        </w:tc>
        <w:tc>
          <w:tcPr>
            <w:tcW w:w="1116" w:type="dxa"/>
            <w:shd w:val="clear" w:color="auto" w:fill="auto"/>
            <w:noWrap/>
            <w:vAlign w:val="bottom"/>
            <w:hideMark/>
          </w:tcPr>
          <w:p w:rsidR="006D5EB6" w:rsidRPr="00F86DB2" w:rsidRDefault="006D5EB6" w:rsidP="006D5EB6">
            <w:pPr>
              <w:spacing w:after="0" w:line="240" w:lineRule="auto"/>
              <w:jc w:val="right"/>
              <w:rPr>
                <w:rFonts w:ascii="Calibri" w:eastAsia="Times New Roman" w:hAnsi="Calibri" w:cs="Calibri"/>
                <w:b/>
                <w:bCs/>
                <w:color w:val="000000"/>
                <w:lang w:eastAsia="es-EC"/>
              </w:rPr>
            </w:pPr>
            <w:r w:rsidRPr="00F86DB2">
              <w:rPr>
                <w:rFonts w:ascii="Calibri" w:eastAsia="Times New Roman" w:hAnsi="Calibri" w:cs="Calibri"/>
                <w:b/>
                <w:bCs/>
                <w:color w:val="000000"/>
                <w:lang w:eastAsia="es-EC"/>
              </w:rPr>
              <w:t>5.764,77</w:t>
            </w:r>
          </w:p>
        </w:tc>
        <w:tc>
          <w:tcPr>
            <w:tcW w:w="1563" w:type="dxa"/>
            <w:shd w:val="clear" w:color="auto" w:fill="auto"/>
            <w:noWrap/>
            <w:vAlign w:val="bottom"/>
            <w:hideMark/>
          </w:tcPr>
          <w:p w:rsidR="006D5EB6" w:rsidRPr="00F86DB2" w:rsidRDefault="006D5EB6" w:rsidP="006D5EB6">
            <w:pPr>
              <w:spacing w:after="0" w:line="240" w:lineRule="auto"/>
              <w:jc w:val="right"/>
              <w:rPr>
                <w:rFonts w:ascii="Calibri" w:eastAsia="Times New Roman" w:hAnsi="Calibri" w:cs="Calibri"/>
                <w:color w:val="FF33CC"/>
                <w:lang w:eastAsia="es-EC"/>
              </w:rPr>
            </w:pPr>
            <w:r w:rsidRPr="00F86DB2">
              <w:rPr>
                <w:rFonts w:ascii="Calibri" w:eastAsia="Times New Roman" w:hAnsi="Calibri" w:cs="Calibri"/>
                <w:color w:val="FF33CC"/>
                <w:lang w:eastAsia="es-EC"/>
              </w:rPr>
              <w:t>0,17</w:t>
            </w:r>
          </w:p>
        </w:tc>
      </w:tr>
    </w:tbl>
    <w:p w:rsidR="006D5EB6" w:rsidRDefault="006D5EB6" w:rsidP="006D5EB6">
      <w:pPr>
        <w:spacing w:after="0" w:line="240" w:lineRule="auto"/>
        <w:jc w:val="center"/>
        <w:rPr>
          <w:rFonts w:ascii="Calibri" w:eastAsia="Times New Roman" w:hAnsi="Calibri" w:cs="Calibri"/>
          <w:b/>
          <w:bCs/>
          <w:color w:val="4F81BD"/>
          <w:lang w:eastAsia="es-EC"/>
        </w:rPr>
      </w:pPr>
    </w:p>
    <w:p w:rsidR="006D5EB6" w:rsidRDefault="006D5EB6" w:rsidP="006D5EB6">
      <w:pPr>
        <w:spacing w:after="0" w:line="240" w:lineRule="auto"/>
        <w:jc w:val="center"/>
        <w:rPr>
          <w:rFonts w:ascii="Calibri" w:eastAsia="Times New Roman" w:hAnsi="Calibri" w:cs="Calibri"/>
          <w:b/>
          <w:bCs/>
          <w:color w:val="4F81BD"/>
          <w:lang w:eastAsia="es-EC"/>
        </w:rPr>
      </w:pPr>
    </w:p>
    <w:p w:rsidR="006D5EB6" w:rsidRDefault="006D5EB6" w:rsidP="006D5EB6">
      <w:pPr>
        <w:spacing w:after="0" w:line="240" w:lineRule="auto"/>
        <w:jc w:val="center"/>
        <w:rPr>
          <w:rFonts w:ascii="Calibri" w:eastAsia="Times New Roman" w:hAnsi="Calibri" w:cs="Calibri"/>
          <w:b/>
          <w:bCs/>
          <w:color w:val="4F81BD"/>
          <w:lang w:eastAsia="es-EC"/>
        </w:rPr>
      </w:pPr>
    </w:p>
    <w:p w:rsidR="006D5EB6" w:rsidRPr="00EB14D3" w:rsidRDefault="006D5EB6" w:rsidP="006D5EB6">
      <w:pPr>
        <w:spacing w:after="0" w:line="240" w:lineRule="auto"/>
        <w:jc w:val="center"/>
        <w:rPr>
          <w:rFonts w:ascii="Calibri" w:eastAsia="Times New Roman" w:hAnsi="Calibri" w:cs="Calibri"/>
          <w:b/>
          <w:bCs/>
          <w:lang w:eastAsia="es-EC"/>
        </w:rPr>
      </w:pPr>
      <w:r w:rsidRPr="00EB14D3">
        <w:rPr>
          <w:rFonts w:ascii="Calibri" w:eastAsia="Times New Roman" w:hAnsi="Calibri" w:cs="Calibri"/>
          <w:b/>
          <w:bCs/>
          <w:lang w:eastAsia="es-EC"/>
        </w:rPr>
        <w:t>ESTRUCTURA OPERATIVA</w:t>
      </w:r>
    </w:p>
    <w:p w:rsidR="006D5EB6" w:rsidRDefault="006D5EB6" w:rsidP="006D5EB6">
      <w:pPr>
        <w:spacing w:after="0" w:line="240" w:lineRule="auto"/>
        <w:jc w:val="center"/>
        <w:rPr>
          <w:rFonts w:ascii="Calibri" w:eastAsia="Times New Roman" w:hAnsi="Calibri" w:cs="Calibri"/>
          <w:b/>
          <w:bCs/>
          <w:color w:val="4F81BD"/>
          <w:lang w:eastAsia="es-EC"/>
        </w:rPr>
      </w:pPr>
    </w:p>
    <w:p w:rsidR="006D5EB6" w:rsidRPr="00EB14D3" w:rsidRDefault="006D5EB6" w:rsidP="006D5EB6">
      <w:pPr>
        <w:spacing w:after="0" w:line="240" w:lineRule="auto"/>
        <w:jc w:val="center"/>
        <w:rPr>
          <w:rFonts w:ascii="Calibri" w:eastAsia="Times New Roman" w:hAnsi="Calibri" w:cs="Calibri"/>
          <w:b/>
          <w:bCs/>
          <w:color w:val="4F81BD"/>
          <w:lang w:eastAsia="es-EC"/>
        </w:rPr>
      </w:pPr>
      <w:r w:rsidRPr="00EB14D3">
        <w:rPr>
          <w:rFonts w:ascii="Calibri" w:eastAsia="Times New Roman" w:hAnsi="Calibri" w:cs="Calibri"/>
          <w:b/>
          <w:bCs/>
          <w:color w:val="4F81BD"/>
          <w:lang w:eastAsia="es-EC"/>
        </w:rPr>
        <w:t>Análisis de Tendencias Método Vertical</w:t>
      </w:r>
    </w:p>
    <w:p w:rsidR="006D5EB6" w:rsidRDefault="006D5EB6" w:rsidP="006D5EB6">
      <w:pPr>
        <w:spacing w:after="0" w:line="240" w:lineRule="auto"/>
        <w:jc w:val="center"/>
        <w:rPr>
          <w:rFonts w:ascii="Calibri" w:eastAsia="Times New Roman" w:hAnsi="Calibri" w:cs="Calibri"/>
          <w:b/>
          <w:bCs/>
          <w:color w:val="4F81BD"/>
          <w:lang w:eastAsia="es-EC"/>
        </w:rPr>
      </w:pPr>
      <w:r>
        <w:rPr>
          <w:rFonts w:ascii="Calibri" w:eastAsia="Times New Roman" w:hAnsi="Calibri" w:cs="Calibri"/>
          <w:b/>
          <w:bCs/>
          <w:color w:val="4F81BD"/>
          <w:lang w:eastAsia="es-EC"/>
        </w:rPr>
        <w:t xml:space="preserve"> </w:t>
      </w:r>
    </w:p>
    <w:p w:rsidR="006D5EB6" w:rsidRDefault="006D5EB6" w:rsidP="006D5EB6">
      <w:pPr>
        <w:spacing w:after="0" w:line="240" w:lineRule="auto"/>
        <w:jc w:val="center"/>
        <w:rPr>
          <w:rFonts w:ascii="Calibri" w:eastAsia="Times New Roman" w:hAnsi="Calibri" w:cs="Calibri"/>
          <w:b/>
          <w:bCs/>
          <w:color w:val="4F81BD"/>
          <w:lang w:eastAsia="es-EC"/>
        </w:rPr>
      </w:pPr>
    </w:p>
    <w:tbl>
      <w:tblPr>
        <w:tblW w:w="3040" w:type="dxa"/>
        <w:tblInd w:w="60" w:type="dxa"/>
        <w:tblCellMar>
          <w:left w:w="70" w:type="dxa"/>
          <w:right w:w="70" w:type="dxa"/>
        </w:tblCellMar>
        <w:tblLook w:val="04A0"/>
      </w:tblPr>
      <w:tblGrid>
        <w:gridCol w:w="1840"/>
        <w:gridCol w:w="1200"/>
      </w:tblGrid>
      <w:tr w:rsidR="006D5EB6" w:rsidRPr="00EB14D3" w:rsidTr="006D5EB6">
        <w:trPr>
          <w:trHeight w:val="315"/>
        </w:trPr>
        <w:tc>
          <w:tcPr>
            <w:tcW w:w="1840" w:type="dxa"/>
            <w:tcBorders>
              <w:top w:val="single" w:sz="8" w:space="0" w:color="666699"/>
              <w:left w:val="single" w:sz="8" w:space="0" w:color="666699"/>
              <w:bottom w:val="single" w:sz="8" w:space="0" w:color="666699"/>
              <w:right w:val="single" w:sz="8" w:space="0" w:color="666699"/>
            </w:tcBorders>
            <w:shd w:val="clear" w:color="auto" w:fill="auto"/>
            <w:noWrap/>
            <w:vAlign w:val="bottom"/>
            <w:hideMark/>
          </w:tcPr>
          <w:p w:rsidR="006D5EB6" w:rsidRPr="00EB14D3" w:rsidRDefault="006D5EB6" w:rsidP="006D5EB6">
            <w:pPr>
              <w:spacing w:after="0" w:line="240" w:lineRule="auto"/>
              <w:jc w:val="center"/>
              <w:rPr>
                <w:rFonts w:ascii="Calibri" w:eastAsia="Times New Roman" w:hAnsi="Calibri" w:cs="Calibri"/>
                <w:b/>
                <w:bCs/>
                <w:color w:val="9966FF"/>
                <w:lang w:eastAsia="es-EC"/>
              </w:rPr>
            </w:pPr>
            <w:r w:rsidRPr="00EB14D3">
              <w:rPr>
                <w:rFonts w:ascii="Calibri" w:eastAsia="Times New Roman" w:hAnsi="Calibri" w:cs="Calibri"/>
                <w:b/>
                <w:bCs/>
                <w:color w:val="9966FF"/>
                <w:lang w:eastAsia="es-EC"/>
              </w:rPr>
              <w:t>RUBROS</w:t>
            </w:r>
          </w:p>
        </w:tc>
        <w:tc>
          <w:tcPr>
            <w:tcW w:w="1200" w:type="dxa"/>
            <w:tcBorders>
              <w:top w:val="single" w:sz="8" w:space="0" w:color="666699"/>
              <w:left w:val="nil"/>
              <w:bottom w:val="single" w:sz="8" w:space="0" w:color="666699"/>
              <w:right w:val="single" w:sz="8" w:space="0" w:color="666699"/>
            </w:tcBorders>
            <w:shd w:val="clear" w:color="auto" w:fill="auto"/>
            <w:noWrap/>
            <w:vAlign w:val="bottom"/>
            <w:hideMark/>
          </w:tcPr>
          <w:p w:rsidR="006D5EB6" w:rsidRPr="00EB14D3" w:rsidRDefault="006D5EB6" w:rsidP="006D5EB6">
            <w:pPr>
              <w:spacing w:after="0" w:line="240" w:lineRule="auto"/>
              <w:jc w:val="center"/>
              <w:rPr>
                <w:rFonts w:ascii="Calibri" w:eastAsia="Times New Roman" w:hAnsi="Calibri" w:cs="Calibri"/>
                <w:b/>
                <w:bCs/>
                <w:color w:val="9966FF"/>
                <w:lang w:eastAsia="es-EC"/>
              </w:rPr>
            </w:pPr>
            <w:r w:rsidRPr="00EB14D3">
              <w:rPr>
                <w:rFonts w:ascii="Calibri" w:eastAsia="Times New Roman" w:hAnsi="Calibri" w:cs="Calibri"/>
                <w:b/>
                <w:bCs/>
                <w:color w:val="9966FF"/>
                <w:lang w:eastAsia="es-EC"/>
              </w:rPr>
              <w:t>%</w:t>
            </w:r>
          </w:p>
        </w:tc>
      </w:tr>
      <w:tr w:rsidR="006D5EB6" w:rsidRPr="00EB14D3" w:rsidTr="006D5EB6">
        <w:trPr>
          <w:trHeight w:val="300"/>
        </w:trPr>
        <w:tc>
          <w:tcPr>
            <w:tcW w:w="1840" w:type="dxa"/>
            <w:tcBorders>
              <w:top w:val="nil"/>
              <w:left w:val="single" w:sz="8" w:space="0" w:color="666699"/>
              <w:bottom w:val="single" w:sz="4" w:space="0" w:color="666699"/>
              <w:right w:val="single" w:sz="8" w:space="0" w:color="666699"/>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r w:rsidRPr="00EB14D3">
              <w:rPr>
                <w:rFonts w:ascii="Calibri" w:eastAsia="Times New Roman" w:hAnsi="Calibri" w:cs="Calibri"/>
                <w:color w:val="000000"/>
                <w:lang w:eastAsia="es-EC"/>
              </w:rPr>
              <w:t>Ventas</w:t>
            </w:r>
          </w:p>
        </w:tc>
        <w:tc>
          <w:tcPr>
            <w:tcW w:w="1200" w:type="dxa"/>
            <w:tcBorders>
              <w:top w:val="nil"/>
              <w:left w:val="nil"/>
              <w:bottom w:val="single" w:sz="4" w:space="0" w:color="666699"/>
              <w:right w:val="single" w:sz="8" w:space="0" w:color="666699"/>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1</w:t>
            </w:r>
          </w:p>
        </w:tc>
      </w:tr>
      <w:tr w:rsidR="006D5EB6" w:rsidRPr="00EB14D3" w:rsidTr="006D5EB6">
        <w:trPr>
          <w:trHeight w:val="300"/>
        </w:trPr>
        <w:tc>
          <w:tcPr>
            <w:tcW w:w="1840" w:type="dxa"/>
            <w:tcBorders>
              <w:top w:val="nil"/>
              <w:left w:val="single" w:sz="8" w:space="0" w:color="666699"/>
              <w:bottom w:val="single" w:sz="4" w:space="0" w:color="666699"/>
              <w:right w:val="single" w:sz="8" w:space="0" w:color="666699"/>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r w:rsidRPr="00EB14D3">
              <w:rPr>
                <w:rFonts w:ascii="Calibri" w:eastAsia="Times New Roman" w:hAnsi="Calibri" w:cs="Calibri"/>
                <w:color w:val="000000"/>
                <w:lang w:eastAsia="es-EC"/>
              </w:rPr>
              <w:t>Costo de Ventas</w:t>
            </w:r>
          </w:p>
        </w:tc>
        <w:tc>
          <w:tcPr>
            <w:tcW w:w="1200" w:type="dxa"/>
            <w:tcBorders>
              <w:top w:val="nil"/>
              <w:left w:val="nil"/>
              <w:bottom w:val="single" w:sz="4" w:space="0" w:color="666699"/>
              <w:right w:val="single" w:sz="8" w:space="0" w:color="666699"/>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0,59</w:t>
            </w:r>
          </w:p>
        </w:tc>
      </w:tr>
      <w:tr w:rsidR="006D5EB6" w:rsidRPr="00EB14D3" w:rsidTr="006D5EB6">
        <w:trPr>
          <w:trHeight w:val="300"/>
        </w:trPr>
        <w:tc>
          <w:tcPr>
            <w:tcW w:w="1840" w:type="dxa"/>
            <w:tcBorders>
              <w:top w:val="nil"/>
              <w:left w:val="single" w:sz="8" w:space="0" w:color="666699"/>
              <w:bottom w:val="single" w:sz="4" w:space="0" w:color="666699"/>
              <w:right w:val="single" w:sz="8" w:space="0" w:color="666699"/>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r w:rsidRPr="00EB14D3">
              <w:rPr>
                <w:rFonts w:ascii="Calibri" w:eastAsia="Times New Roman" w:hAnsi="Calibri" w:cs="Calibri"/>
                <w:color w:val="000000"/>
                <w:lang w:eastAsia="es-EC"/>
              </w:rPr>
              <w:t>G. Administrativos</w:t>
            </w:r>
          </w:p>
        </w:tc>
        <w:tc>
          <w:tcPr>
            <w:tcW w:w="1200" w:type="dxa"/>
            <w:tcBorders>
              <w:top w:val="nil"/>
              <w:left w:val="nil"/>
              <w:bottom w:val="single" w:sz="4" w:space="0" w:color="666699"/>
              <w:right w:val="single" w:sz="8" w:space="0" w:color="666699"/>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1,26</w:t>
            </w:r>
          </w:p>
        </w:tc>
      </w:tr>
      <w:tr w:rsidR="006D5EB6" w:rsidRPr="00EB14D3" w:rsidTr="006D5EB6">
        <w:trPr>
          <w:trHeight w:val="315"/>
        </w:trPr>
        <w:tc>
          <w:tcPr>
            <w:tcW w:w="1840" w:type="dxa"/>
            <w:tcBorders>
              <w:top w:val="nil"/>
              <w:left w:val="single" w:sz="8" w:space="0" w:color="666699"/>
              <w:bottom w:val="single" w:sz="4" w:space="0" w:color="666699"/>
              <w:right w:val="single" w:sz="8" w:space="0" w:color="666699"/>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r w:rsidRPr="00EB14D3">
              <w:rPr>
                <w:rFonts w:ascii="Calibri" w:eastAsia="Times New Roman" w:hAnsi="Calibri" w:cs="Calibri"/>
                <w:color w:val="000000"/>
                <w:lang w:eastAsia="es-EC"/>
              </w:rPr>
              <w:t>G. Comerciales</w:t>
            </w:r>
          </w:p>
        </w:tc>
        <w:tc>
          <w:tcPr>
            <w:tcW w:w="1200" w:type="dxa"/>
            <w:tcBorders>
              <w:top w:val="nil"/>
              <w:left w:val="nil"/>
              <w:bottom w:val="single" w:sz="4" w:space="0" w:color="666699"/>
              <w:right w:val="single" w:sz="8" w:space="0" w:color="666699"/>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0,03</w:t>
            </w:r>
          </w:p>
        </w:tc>
      </w:tr>
      <w:tr w:rsidR="006D5EB6" w:rsidRPr="00EB14D3" w:rsidTr="006D5EB6">
        <w:trPr>
          <w:trHeight w:val="315"/>
        </w:trPr>
        <w:tc>
          <w:tcPr>
            <w:tcW w:w="1840" w:type="dxa"/>
            <w:tcBorders>
              <w:top w:val="nil"/>
              <w:left w:val="single" w:sz="8" w:space="0" w:color="666699"/>
              <w:bottom w:val="single" w:sz="8" w:space="0" w:color="666699"/>
              <w:right w:val="single" w:sz="8" w:space="0" w:color="666699"/>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r w:rsidRPr="00EB14D3">
              <w:rPr>
                <w:rFonts w:ascii="Calibri" w:eastAsia="Times New Roman" w:hAnsi="Calibri" w:cs="Calibri"/>
                <w:color w:val="000000"/>
                <w:lang w:eastAsia="es-EC"/>
              </w:rPr>
              <w:t>G. Ventas</w:t>
            </w:r>
          </w:p>
        </w:tc>
        <w:tc>
          <w:tcPr>
            <w:tcW w:w="1200" w:type="dxa"/>
            <w:tcBorders>
              <w:top w:val="nil"/>
              <w:left w:val="nil"/>
              <w:bottom w:val="single" w:sz="8" w:space="0" w:color="666699"/>
              <w:right w:val="single" w:sz="8" w:space="0" w:color="666699"/>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0</w:t>
            </w:r>
          </w:p>
        </w:tc>
      </w:tr>
    </w:tbl>
    <w:p w:rsidR="006D5EB6" w:rsidRDefault="006D5EB6" w:rsidP="006D5EB6">
      <w:pPr>
        <w:spacing w:after="0" w:line="240" w:lineRule="auto"/>
        <w:jc w:val="center"/>
        <w:rPr>
          <w:rFonts w:ascii="Calibri" w:eastAsia="Times New Roman" w:hAnsi="Calibri" w:cs="Calibri"/>
          <w:b/>
          <w:bCs/>
          <w:color w:val="4F81BD"/>
          <w:lang w:eastAsia="es-EC"/>
        </w:rPr>
      </w:pPr>
      <w:r w:rsidRPr="00EB14D3">
        <w:rPr>
          <w:rFonts w:ascii="Calibri" w:eastAsia="Times New Roman" w:hAnsi="Calibri" w:cs="Calibri"/>
          <w:b/>
          <w:bCs/>
          <w:noProof/>
          <w:color w:val="4F81BD"/>
          <w:lang w:eastAsia="es-EC"/>
        </w:rPr>
        <w:lastRenderedPageBreak/>
        <w:drawing>
          <wp:inline distT="0" distB="0" distL="0" distR="0">
            <wp:extent cx="4572000" cy="2486025"/>
            <wp:effectExtent l="19050" t="0" r="19050" b="0"/>
            <wp:docPr id="98" name="Gráfico 9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6D5EB6" w:rsidRDefault="006D5EB6" w:rsidP="006D5EB6">
      <w:pPr>
        <w:spacing w:after="0" w:line="240" w:lineRule="auto"/>
        <w:jc w:val="center"/>
        <w:rPr>
          <w:rFonts w:ascii="Calibri" w:eastAsia="Times New Roman" w:hAnsi="Calibri" w:cs="Calibri"/>
          <w:b/>
          <w:bCs/>
          <w:color w:val="4F81BD"/>
          <w:lang w:eastAsia="es-EC"/>
        </w:rPr>
      </w:pPr>
    </w:p>
    <w:p w:rsidR="006D5EB6" w:rsidRPr="00EB14D3" w:rsidRDefault="006D5EB6" w:rsidP="006D5EB6">
      <w:pPr>
        <w:spacing w:after="0" w:line="240" w:lineRule="auto"/>
        <w:jc w:val="center"/>
        <w:rPr>
          <w:rFonts w:ascii="Calibri" w:eastAsia="Times New Roman" w:hAnsi="Calibri" w:cs="Calibri"/>
          <w:b/>
          <w:bCs/>
          <w:lang w:eastAsia="es-EC"/>
        </w:rPr>
      </w:pPr>
    </w:p>
    <w:p w:rsidR="006D5EB6" w:rsidRDefault="006D5EB6" w:rsidP="006D5EB6">
      <w:pPr>
        <w:spacing w:after="0" w:line="240" w:lineRule="auto"/>
        <w:jc w:val="center"/>
        <w:rPr>
          <w:rFonts w:ascii="Calibri" w:eastAsia="Times New Roman" w:hAnsi="Calibri" w:cs="Calibri"/>
          <w:b/>
          <w:bCs/>
          <w:lang w:eastAsia="es-EC"/>
        </w:rPr>
      </w:pPr>
      <w:r w:rsidRPr="00EB14D3">
        <w:rPr>
          <w:rFonts w:ascii="Calibri" w:eastAsia="Times New Roman" w:hAnsi="Calibri" w:cs="Calibri"/>
          <w:b/>
          <w:bCs/>
          <w:lang w:eastAsia="es-EC"/>
        </w:rPr>
        <w:t>ESTRUCTURA FINANCIERA</w:t>
      </w:r>
    </w:p>
    <w:p w:rsidR="006D5EB6" w:rsidRPr="00EB14D3" w:rsidRDefault="006D5EB6" w:rsidP="006D5EB6">
      <w:pPr>
        <w:spacing w:after="0" w:line="240" w:lineRule="auto"/>
        <w:jc w:val="center"/>
        <w:rPr>
          <w:rFonts w:ascii="Calibri" w:eastAsia="Times New Roman" w:hAnsi="Calibri" w:cs="Calibri"/>
          <w:b/>
          <w:bCs/>
          <w:lang w:eastAsia="es-EC"/>
        </w:rPr>
      </w:pPr>
    </w:p>
    <w:p w:rsidR="006D5EB6" w:rsidRPr="00EB14D3" w:rsidRDefault="006D5EB6" w:rsidP="006D5EB6">
      <w:pPr>
        <w:spacing w:after="0" w:line="240" w:lineRule="auto"/>
        <w:jc w:val="center"/>
        <w:rPr>
          <w:rFonts w:ascii="Calibri" w:eastAsia="Times New Roman" w:hAnsi="Calibri" w:cs="Calibri"/>
          <w:b/>
          <w:bCs/>
          <w:color w:val="4F81BD"/>
          <w:lang w:eastAsia="es-EC"/>
        </w:rPr>
      </w:pPr>
      <w:r w:rsidRPr="00EB14D3">
        <w:rPr>
          <w:rFonts w:ascii="Calibri" w:eastAsia="Times New Roman" w:hAnsi="Calibri" w:cs="Calibri"/>
          <w:b/>
          <w:bCs/>
          <w:color w:val="4F81BD"/>
          <w:lang w:eastAsia="es-EC"/>
        </w:rPr>
        <w:t>Análisis de Tendencias Método Vertical</w:t>
      </w:r>
    </w:p>
    <w:p w:rsidR="006D5EB6" w:rsidRDefault="006D5EB6" w:rsidP="006D5EB6">
      <w:pPr>
        <w:spacing w:after="0" w:line="240" w:lineRule="auto"/>
        <w:jc w:val="center"/>
        <w:rPr>
          <w:rFonts w:ascii="Calibri" w:eastAsia="Times New Roman" w:hAnsi="Calibri" w:cs="Calibri"/>
          <w:b/>
          <w:bCs/>
          <w:color w:val="4F81BD"/>
          <w:lang w:eastAsia="es-EC"/>
        </w:rPr>
      </w:pPr>
    </w:p>
    <w:tbl>
      <w:tblPr>
        <w:tblW w:w="2980" w:type="dxa"/>
        <w:jc w:val="center"/>
        <w:tblInd w:w="60" w:type="dxa"/>
        <w:tblCellMar>
          <w:left w:w="70" w:type="dxa"/>
          <w:right w:w="70" w:type="dxa"/>
        </w:tblCellMar>
        <w:tblLook w:val="04A0"/>
      </w:tblPr>
      <w:tblGrid>
        <w:gridCol w:w="1800"/>
        <w:gridCol w:w="1180"/>
      </w:tblGrid>
      <w:tr w:rsidR="006D5EB6" w:rsidRPr="00EB14D3" w:rsidTr="006D5EB6">
        <w:trPr>
          <w:trHeight w:val="315"/>
          <w:jc w:val="center"/>
        </w:trPr>
        <w:tc>
          <w:tcPr>
            <w:tcW w:w="1800" w:type="dxa"/>
            <w:tcBorders>
              <w:top w:val="single" w:sz="8" w:space="0" w:color="666699"/>
              <w:left w:val="single" w:sz="8" w:space="0" w:color="666699"/>
              <w:bottom w:val="single" w:sz="8" w:space="0" w:color="666699"/>
              <w:right w:val="single" w:sz="8" w:space="0" w:color="666699"/>
            </w:tcBorders>
            <w:shd w:val="clear" w:color="auto" w:fill="auto"/>
            <w:noWrap/>
            <w:vAlign w:val="bottom"/>
            <w:hideMark/>
          </w:tcPr>
          <w:p w:rsidR="006D5EB6" w:rsidRPr="00EB14D3" w:rsidRDefault="006D5EB6" w:rsidP="006D5EB6">
            <w:pPr>
              <w:spacing w:after="0" w:line="240" w:lineRule="auto"/>
              <w:jc w:val="center"/>
              <w:rPr>
                <w:rFonts w:ascii="Calibri" w:eastAsia="Times New Roman" w:hAnsi="Calibri" w:cs="Calibri"/>
                <w:b/>
                <w:bCs/>
                <w:color w:val="9966FF"/>
                <w:lang w:eastAsia="es-EC"/>
              </w:rPr>
            </w:pPr>
            <w:r w:rsidRPr="00EB14D3">
              <w:rPr>
                <w:rFonts w:ascii="Calibri" w:eastAsia="Times New Roman" w:hAnsi="Calibri" w:cs="Calibri"/>
                <w:b/>
                <w:bCs/>
                <w:color w:val="9966FF"/>
                <w:lang w:eastAsia="es-EC"/>
              </w:rPr>
              <w:t>RUBROS</w:t>
            </w:r>
          </w:p>
        </w:tc>
        <w:tc>
          <w:tcPr>
            <w:tcW w:w="1180" w:type="dxa"/>
            <w:tcBorders>
              <w:top w:val="single" w:sz="8" w:space="0" w:color="666699"/>
              <w:left w:val="nil"/>
              <w:bottom w:val="single" w:sz="8" w:space="0" w:color="666699"/>
              <w:right w:val="single" w:sz="8" w:space="0" w:color="666699"/>
            </w:tcBorders>
            <w:shd w:val="clear" w:color="auto" w:fill="auto"/>
            <w:noWrap/>
            <w:vAlign w:val="bottom"/>
            <w:hideMark/>
          </w:tcPr>
          <w:p w:rsidR="006D5EB6" w:rsidRPr="00EB14D3" w:rsidRDefault="006D5EB6" w:rsidP="006D5EB6">
            <w:pPr>
              <w:spacing w:after="0" w:line="240" w:lineRule="auto"/>
              <w:jc w:val="center"/>
              <w:rPr>
                <w:rFonts w:ascii="Calibri" w:eastAsia="Times New Roman" w:hAnsi="Calibri" w:cs="Calibri"/>
                <w:b/>
                <w:bCs/>
                <w:color w:val="9966FF"/>
                <w:lang w:eastAsia="es-EC"/>
              </w:rPr>
            </w:pPr>
            <w:r w:rsidRPr="00EB14D3">
              <w:rPr>
                <w:rFonts w:ascii="Calibri" w:eastAsia="Times New Roman" w:hAnsi="Calibri" w:cs="Calibri"/>
                <w:b/>
                <w:bCs/>
                <w:color w:val="9966FF"/>
                <w:lang w:eastAsia="es-EC"/>
              </w:rPr>
              <w:t>%</w:t>
            </w:r>
          </w:p>
        </w:tc>
      </w:tr>
      <w:tr w:rsidR="006D5EB6" w:rsidRPr="00EB14D3" w:rsidTr="006D5EB6">
        <w:trPr>
          <w:trHeight w:val="300"/>
          <w:jc w:val="center"/>
        </w:trPr>
        <w:tc>
          <w:tcPr>
            <w:tcW w:w="1800" w:type="dxa"/>
            <w:tcBorders>
              <w:top w:val="nil"/>
              <w:left w:val="single" w:sz="8" w:space="0" w:color="666699"/>
              <w:bottom w:val="single" w:sz="4" w:space="0" w:color="666699"/>
              <w:right w:val="single" w:sz="8" w:space="0" w:color="666699"/>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r w:rsidRPr="00EB14D3">
              <w:rPr>
                <w:rFonts w:ascii="Calibri" w:eastAsia="Times New Roman" w:hAnsi="Calibri" w:cs="Calibri"/>
                <w:color w:val="000000"/>
                <w:lang w:eastAsia="es-EC"/>
              </w:rPr>
              <w:t>G. Financieros</w:t>
            </w:r>
          </w:p>
        </w:tc>
        <w:tc>
          <w:tcPr>
            <w:tcW w:w="1180" w:type="dxa"/>
            <w:tcBorders>
              <w:top w:val="nil"/>
              <w:left w:val="nil"/>
              <w:bottom w:val="single" w:sz="4" w:space="0" w:color="666699"/>
              <w:right w:val="single" w:sz="8" w:space="0" w:color="666699"/>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0</w:t>
            </w:r>
          </w:p>
        </w:tc>
      </w:tr>
      <w:tr w:rsidR="006D5EB6" w:rsidRPr="00EB14D3" w:rsidTr="006D5EB6">
        <w:trPr>
          <w:trHeight w:val="300"/>
          <w:jc w:val="center"/>
        </w:trPr>
        <w:tc>
          <w:tcPr>
            <w:tcW w:w="1800" w:type="dxa"/>
            <w:tcBorders>
              <w:top w:val="nil"/>
              <w:left w:val="single" w:sz="8" w:space="0" w:color="666699"/>
              <w:bottom w:val="single" w:sz="4" w:space="0" w:color="666699"/>
              <w:right w:val="single" w:sz="8" w:space="0" w:color="666699"/>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r w:rsidRPr="00EB14D3">
              <w:rPr>
                <w:rFonts w:ascii="Calibri" w:eastAsia="Times New Roman" w:hAnsi="Calibri" w:cs="Calibri"/>
                <w:color w:val="000000"/>
                <w:lang w:eastAsia="es-EC"/>
              </w:rPr>
              <w:t>Ing. no Operativos</w:t>
            </w:r>
          </w:p>
        </w:tc>
        <w:tc>
          <w:tcPr>
            <w:tcW w:w="1180" w:type="dxa"/>
            <w:tcBorders>
              <w:top w:val="nil"/>
              <w:left w:val="nil"/>
              <w:bottom w:val="single" w:sz="4" w:space="0" w:color="666699"/>
              <w:right w:val="single" w:sz="8" w:space="0" w:color="666699"/>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3,92</w:t>
            </w:r>
          </w:p>
        </w:tc>
      </w:tr>
      <w:tr w:rsidR="006D5EB6" w:rsidRPr="00EB14D3" w:rsidTr="006D5EB6">
        <w:trPr>
          <w:trHeight w:val="300"/>
          <w:jc w:val="center"/>
        </w:trPr>
        <w:tc>
          <w:tcPr>
            <w:tcW w:w="1800" w:type="dxa"/>
            <w:tcBorders>
              <w:top w:val="nil"/>
              <w:left w:val="single" w:sz="8" w:space="0" w:color="666699"/>
              <w:bottom w:val="single" w:sz="4" w:space="0" w:color="666699"/>
              <w:right w:val="single" w:sz="8" w:space="0" w:color="666699"/>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r w:rsidRPr="00EB14D3">
              <w:rPr>
                <w:rFonts w:ascii="Calibri" w:eastAsia="Times New Roman" w:hAnsi="Calibri" w:cs="Calibri"/>
                <w:color w:val="000000"/>
                <w:lang w:eastAsia="es-EC"/>
              </w:rPr>
              <w:t>Eg. no Operativos</w:t>
            </w:r>
          </w:p>
        </w:tc>
        <w:tc>
          <w:tcPr>
            <w:tcW w:w="1180" w:type="dxa"/>
            <w:tcBorders>
              <w:top w:val="nil"/>
              <w:left w:val="nil"/>
              <w:bottom w:val="single" w:sz="4" w:space="0" w:color="666699"/>
              <w:right w:val="single" w:sz="8" w:space="0" w:color="666699"/>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2,78</w:t>
            </w:r>
          </w:p>
        </w:tc>
      </w:tr>
      <w:tr w:rsidR="006D5EB6" w:rsidRPr="00EB14D3" w:rsidTr="006D5EB6">
        <w:trPr>
          <w:trHeight w:val="300"/>
          <w:jc w:val="center"/>
        </w:trPr>
        <w:tc>
          <w:tcPr>
            <w:tcW w:w="1800" w:type="dxa"/>
            <w:tcBorders>
              <w:top w:val="nil"/>
              <w:left w:val="single" w:sz="8" w:space="0" w:color="666699"/>
              <w:bottom w:val="single" w:sz="4" w:space="0" w:color="666699"/>
              <w:right w:val="single" w:sz="8" w:space="0" w:color="666699"/>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r w:rsidRPr="00EB14D3">
              <w:rPr>
                <w:rFonts w:ascii="Calibri" w:eastAsia="Times New Roman" w:hAnsi="Calibri" w:cs="Calibri"/>
                <w:color w:val="000000"/>
                <w:lang w:eastAsia="es-EC"/>
              </w:rPr>
              <w:t>15% P.T</w:t>
            </w:r>
          </w:p>
        </w:tc>
        <w:tc>
          <w:tcPr>
            <w:tcW w:w="1180" w:type="dxa"/>
            <w:tcBorders>
              <w:top w:val="nil"/>
              <w:left w:val="nil"/>
              <w:bottom w:val="single" w:sz="4" w:space="0" w:color="666699"/>
              <w:right w:val="single" w:sz="8" w:space="0" w:color="666699"/>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0,04</w:t>
            </w:r>
          </w:p>
        </w:tc>
      </w:tr>
      <w:tr w:rsidR="006D5EB6" w:rsidRPr="00EB14D3" w:rsidTr="006D5EB6">
        <w:trPr>
          <w:trHeight w:val="315"/>
          <w:jc w:val="center"/>
        </w:trPr>
        <w:tc>
          <w:tcPr>
            <w:tcW w:w="1800" w:type="dxa"/>
            <w:tcBorders>
              <w:top w:val="nil"/>
              <w:left w:val="single" w:sz="8" w:space="0" w:color="666699"/>
              <w:bottom w:val="single" w:sz="4" w:space="0" w:color="666699"/>
              <w:right w:val="single" w:sz="8" w:space="0" w:color="666699"/>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r w:rsidRPr="00EB14D3">
              <w:rPr>
                <w:rFonts w:ascii="Calibri" w:eastAsia="Times New Roman" w:hAnsi="Calibri" w:cs="Calibri"/>
                <w:color w:val="000000"/>
                <w:lang w:eastAsia="es-EC"/>
              </w:rPr>
              <w:t>24% I.R</w:t>
            </w:r>
          </w:p>
        </w:tc>
        <w:tc>
          <w:tcPr>
            <w:tcW w:w="1180" w:type="dxa"/>
            <w:tcBorders>
              <w:top w:val="nil"/>
              <w:left w:val="nil"/>
              <w:bottom w:val="single" w:sz="4" w:space="0" w:color="666699"/>
              <w:right w:val="single" w:sz="8" w:space="0" w:color="666699"/>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0,05</w:t>
            </w:r>
          </w:p>
        </w:tc>
      </w:tr>
      <w:tr w:rsidR="006D5EB6" w:rsidRPr="00EB14D3" w:rsidTr="006D5EB6">
        <w:trPr>
          <w:trHeight w:val="315"/>
          <w:jc w:val="center"/>
        </w:trPr>
        <w:tc>
          <w:tcPr>
            <w:tcW w:w="1800" w:type="dxa"/>
            <w:tcBorders>
              <w:top w:val="nil"/>
              <w:left w:val="single" w:sz="8" w:space="0" w:color="666699"/>
              <w:bottom w:val="single" w:sz="8" w:space="0" w:color="666699"/>
              <w:right w:val="single" w:sz="8" w:space="0" w:color="666699"/>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r w:rsidRPr="00EB14D3">
              <w:rPr>
                <w:rFonts w:ascii="Calibri" w:eastAsia="Times New Roman" w:hAnsi="Calibri" w:cs="Calibri"/>
                <w:color w:val="000000"/>
                <w:lang w:eastAsia="es-EC"/>
              </w:rPr>
              <w:t>Utilidad Neta</w:t>
            </w:r>
          </w:p>
        </w:tc>
        <w:tc>
          <w:tcPr>
            <w:tcW w:w="1180" w:type="dxa"/>
            <w:tcBorders>
              <w:top w:val="nil"/>
              <w:left w:val="nil"/>
              <w:bottom w:val="single" w:sz="8" w:space="0" w:color="666699"/>
              <w:right w:val="single" w:sz="8" w:space="0" w:color="666699"/>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0,17</w:t>
            </w:r>
          </w:p>
        </w:tc>
      </w:tr>
    </w:tbl>
    <w:p w:rsidR="006D5EB6" w:rsidRDefault="006D5EB6" w:rsidP="006D5EB6">
      <w:pPr>
        <w:spacing w:after="0" w:line="240" w:lineRule="auto"/>
        <w:jc w:val="center"/>
        <w:rPr>
          <w:rFonts w:ascii="Calibri" w:eastAsia="Times New Roman" w:hAnsi="Calibri" w:cs="Calibri"/>
          <w:b/>
          <w:bCs/>
          <w:color w:val="4F81BD"/>
          <w:lang w:eastAsia="es-EC"/>
        </w:rPr>
      </w:pPr>
    </w:p>
    <w:p w:rsidR="006D5EB6" w:rsidRDefault="006D5EB6" w:rsidP="006D5EB6">
      <w:pPr>
        <w:spacing w:after="0" w:line="240" w:lineRule="auto"/>
        <w:jc w:val="center"/>
        <w:rPr>
          <w:rFonts w:ascii="Calibri" w:eastAsia="Times New Roman" w:hAnsi="Calibri" w:cs="Calibri"/>
          <w:b/>
          <w:bCs/>
          <w:color w:val="4F81BD"/>
          <w:lang w:eastAsia="es-EC"/>
        </w:rPr>
      </w:pPr>
      <w:r w:rsidRPr="00EB14D3">
        <w:rPr>
          <w:rFonts w:ascii="Calibri" w:eastAsia="Times New Roman" w:hAnsi="Calibri" w:cs="Calibri"/>
          <w:b/>
          <w:bCs/>
          <w:noProof/>
          <w:color w:val="4F81BD"/>
          <w:lang w:eastAsia="es-EC"/>
        </w:rPr>
        <w:drawing>
          <wp:inline distT="0" distB="0" distL="0" distR="0">
            <wp:extent cx="4572000" cy="2266950"/>
            <wp:effectExtent l="19050" t="0" r="19050" b="0"/>
            <wp:docPr id="99" name="Gráfico 99"/>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6D5EB6" w:rsidRDefault="006D5EB6" w:rsidP="006D5EB6">
      <w:pPr>
        <w:spacing w:after="0" w:line="240" w:lineRule="auto"/>
        <w:rPr>
          <w:rFonts w:ascii="Calibri" w:eastAsia="Times New Roman" w:hAnsi="Calibri" w:cs="Calibri"/>
          <w:b/>
          <w:bCs/>
          <w:color w:val="4F81BD"/>
          <w:lang w:eastAsia="es-EC"/>
        </w:rPr>
      </w:pPr>
    </w:p>
    <w:p w:rsidR="006D5EB6" w:rsidRDefault="006D5EB6" w:rsidP="006D5EB6">
      <w:pPr>
        <w:spacing w:after="0" w:line="240" w:lineRule="auto"/>
        <w:jc w:val="center"/>
        <w:rPr>
          <w:rFonts w:ascii="Calibri" w:eastAsia="Times New Roman" w:hAnsi="Calibri" w:cs="Calibri"/>
          <w:b/>
          <w:bCs/>
          <w:color w:val="4F81BD"/>
          <w:lang w:eastAsia="es-EC"/>
        </w:rPr>
      </w:pPr>
    </w:p>
    <w:p w:rsidR="006D5EB6" w:rsidRDefault="006D5EB6" w:rsidP="006D5EB6">
      <w:pPr>
        <w:spacing w:after="0" w:line="240" w:lineRule="auto"/>
        <w:rPr>
          <w:rFonts w:ascii="Calibri" w:eastAsia="Times New Roman" w:hAnsi="Calibri" w:cs="Calibri"/>
          <w:b/>
          <w:bCs/>
          <w:color w:val="4F81BD"/>
          <w:lang w:eastAsia="es-EC"/>
        </w:rPr>
      </w:pPr>
    </w:p>
    <w:p w:rsidR="006D5EB6" w:rsidRDefault="006D5EB6" w:rsidP="006D5EB6">
      <w:pPr>
        <w:spacing w:after="0" w:line="240" w:lineRule="auto"/>
        <w:jc w:val="center"/>
        <w:rPr>
          <w:rFonts w:ascii="Calibri" w:eastAsia="Times New Roman" w:hAnsi="Calibri" w:cs="Calibri"/>
          <w:b/>
          <w:bCs/>
          <w:color w:val="4F81BD"/>
          <w:lang w:eastAsia="es-EC"/>
        </w:rPr>
        <w:sectPr w:rsidR="006D5EB6" w:rsidSect="006D5EB6">
          <w:pgSz w:w="12240" w:h="15840"/>
          <w:pgMar w:top="1418" w:right="1701" w:bottom="1418" w:left="1701" w:header="709" w:footer="709" w:gutter="0"/>
          <w:cols w:space="708"/>
          <w:docGrid w:linePitch="360"/>
        </w:sectPr>
      </w:pPr>
    </w:p>
    <w:tbl>
      <w:tblPr>
        <w:tblW w:w="9179" w:type="dxa"/>
        <w:tblInd w:w="70" w:type="dxa"/>
        <w:tblCellMar>
          <w:left w:w="70" w:type="dxa"/>
          <w:right w:w="70" w:type="dxa"/>
        </w:tblCellMar>
        <w:tblLook w:val="04A0"/>
      </w:tblPr>
      <w:tblGrid>
        <w:gridCol w:w="736"/>
        <w:gridCol w:w="735"/>
        <w:gridCol w:w="2425"/>
        <w:gridCol w:w="1180"/>
        <w:gridCol w:w="1179"/>
        <w:gridCol w:w="1416"/>
        <w:gridCol w:w="1508"/>
      </w:tblGrid>
      <w:tr w:rsidR="006D5EB6" w:rsidRPr="00EB14D3" w:rsidTr="006D5EB6">
        <w:trPr>
          <w:trHeight w:val="296"/>
        </w:trPr>
        <w:tc>
          <w:tcPr>
            <w:tcW w:w="6254" w:type="dxa"/>
            <w:gridSpan w:val="5"/>
            <w:tcBorders>
              <w:top w:val="nil"/>
              <w:left w:val="nil"/>
              <w:bottom w:val="nil"/>
              <w:right w:val="nil"/>
            </w:tcBorders>
            <w:shd w:val="clear" w:color="auto" w:fill="auto"/>
            <w:noWrap/>
            <w:vAlign w:val="bottom"/>
            <w:hideMark/>
          </w:tcPr>
          <w:p w:rsidR="006D5EB6" w:rsidRPr="00EB14D3" w:rsidRDefault="006D5EB6" w:rsidP="006D5EB6">
            <w:pPr>
              <w:spacing w:after="0" w:line="240" w:lineRule="auto"/>
              <w:jc w:val="center"/>
              <w:rPr>
                <w:rFonts w:ascii="Calibri" w:eastAsia="Times New Roman" w:hAnsi="Calibri" w:cs="Calibri"/>
                <w:color w:val="000000"/>
                <w:lang w:eastAsia="es-EC"/>
              </w:rPr>
            </w:pPr>
            <w:r w:rsidRPr="00EB14D3">
              <w:rPr>
                <w:rFonts w:ascii="Calibri" w:eastAsia="Times New Roman" w:hAnsi="Calibri" w:cs="Calibri"/>
                <w:color w:val="000000"/>
                <w:lang w:eastAsia="es-EC"/>
              </w:rPr>
              <w:lastRenderedPageBreak/>
              <w:t>COOPERATIVA DE TAXIS "RÁPIDO NACIONAL"</w:t>
            </w:r>
          </w:p>
        </w:tc>
        <w:tc>
          <w:tcPr>
            <w:tcW w:w="1416" w:type="dxa"/>
            <w:tcBorders>
              <w:top w:val="nil"/>
              <w:left w:val="nil"/>
              <w:bottom w:val="nil"/>
              <w:right w:val="nil"/>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p>
        </w:tc>
        <w:tc>
          <w:tcPr>
            <w:tcW w:w="1508" w:type="dxa"/>
            <w:tcBorders>
              <w:top w:val="nil"/>
              <w:left w:val="nil"/>
              <w:bottom w:val="nil"/>
              <w:right w:val="nil"/>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p>
        </w:tc>
      </w:tr>
      <w:tr w:rsidR="006D5EB6" w:rsidRPr="00EB14D3" w:rsidTr="006D5EB6">
        <w:trPr>
          <w:trHeight w:val="296"/>
        </w:trPr>
        <w:tc>
          <w:tcPr>
            <w:tcW w:w="6254" w:type="dxa"/>
            <w:gridSpan w:val="5"/>
            <w:tcBorders>
              <w:top w:val="nil"/>
              <w:left w:val="nil"/>
              <w:bottom w:val="nil"/>
              <w:right w:val="nil"/>
            </w:tcBorders>
            <w:shd w:val="clear" w:color="auto" w:fill="auto"/>
            <w:noWrap/>
            <w:vAlign w:val="bottom"/>
            <w:hideMark/>
          </w:tcPr>
          <w:p w:rsidR="006D5EB6" w:rsidRPr="00EB14D3" w:rsidRDefault="006D5EB6" w:rsidP="006D5EB6">
            <w:pPr>
              <w:spacing w:after="0" w:line="240" w:lineRule="auto"/>
              <w:jc w:val="center"/>
              <w:rPr>
                <w:rFonts w:ascii="Calibri" w:eastAsia="Times New Roman" w:hAnsi="Calibri" w:cs="Calibri"/>
                <w:color w:val="000000"/>
                <w:lang w:eastAsia="es-EC"/>
              </w:rPr>
            </w:pPr>
            <w:r w:rsidRPr="00EB14D3">
              <w:rPr>
                <w:rFonts w:ascii="Calibri" w:eastAsia="Times New Roman" w:hAnsi="Calibri" w:cs="Calibri"/>
                <w:color w:val="000000"/>
                <w:lang w:eastAsia="es-EC"/>
              </w:rPr>
              <w:t>AYACUCHO 276 Y OLMEDO</w:t>
            </w:r>
          </w:p>
        </w:tc>
        <w:tc>
          <w:tcPr>
            <w:tcW w:w="1416" w:type="dxa"/>
            <w:tcBorders>
              <w:top w:val="nil"/>
              <w:left w:val="nil"/>
              <w:bottom w:val="nil"/>
              <w:right w:val="nil"/>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p>
        </w:tc>
        <w:tc>
          <w:tcPr>
            <w:tcW w:w="1508" w:type="dxa"/>
            <w:tcBorders>
              <w:top w:val="nil"/>
              <w:left w:val="nil"/>
              <w:bottom w:val="nil"/>
              <w:right w:val="nil"/>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p>
        </w:tc>
      </w:tr>
      <w:tr w:rsidR="006D5EB6" w:rsidRPr="00EB14D3" w:rsidTr="006D5EB6">
        <w:trPr>
          <w:trHeight w:val="296"/>
        </w:trPr>
        <w:tc>
          <w:tcPr>
            <w:tcW w:w="6254" w:type="dxa"/>
            <w:gridSpan w:val="5"/>
            <w:tcBorders>
              <w:top w:val="nil"/>
              <w:left w:val="nil"/>
              <w:bottom w:val="nil"/>
              <w:right w:val="nil"/>
            </w:tcBorders>
            <w:shd w:val="clear" w:color="auto" w:fill="auto"/>
            <w:noWrap/>
            <w:vAlign w:val="bottom"/>
            <w:hideMark/>
          </w:tcPr>
          <w:p w:rsidR="006D5EB6" w:rsidRPr="00EB14D3" w:rsidRDefault="006D5EB6" w:rsidP="006D5EB6">
            <w:pPr>
              <w:spacing w:after="0" w:line="240" w:lineRule="auto"/>
              <w:jc w:val="center"/>
              <w:rPr>
                <w:rFonts w:ascii="Calibri" w:eastAsia="Times New Roman" w:hAnsi="Calibri" w:cs="Calibri"/>
                <w:color w:val="000000"/>
                <w:lang w:eastAsia="es-EC"/>
              </w:rPr>
            </w:pPr>
            <w:r w:rsidRPr="00EB14D3">
              <w:rPr>
                <w:rFonts w:ascii="Calibri" w:eastAsia="Times New Roman" w:hAnsi="Calibri" w:cs="Calibri"/>
                <w:color w:val="000000"/>
                <w:lang w:eastAsia="es-EC"/>
              </w:rPr>
              <w:t>ESTADO DE RESULTADOS</w:t>
            </w:r>
          </w:p>
        </w:tc>
        <w:tc>
          <w:tcPr>
            <w:tcW w:w="1416" w:type="dxa"/>
            <w:tcBorders>
              <w:top w:val="nil"/>
              <w:left w:val="nil"/>
              <w:bottom w:val="nil"/>
              <w:right w:val="nil"/>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p>
        </w:tc>
        <w:tc>
          <w:tcPr>
            <w:tcW w:w="1508" w:type="dxa"/>
            <w:tcBorders>
              <w:top w:val="nil"/>
              <w:left w:val="nil"/>
              <w:bottom w:val="nil"/>
              <w:right w:val="nil"/>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p>
        </w:tc>
      </w:tr>
      <w:tr w:rsidR="006D5EB6" w:rsidRPr="00EB14D3" w:rsidTr="006D5EB6">
        <w:trPr>
          <w:trHeight w:val="296"/>
        </w:trPr>
        <w:tc>
          <w:tcPr>
            <w:tcW w:w="6254" w:type="dxa"/>
            <w:gridSpan w:val="5"/>
            <w:tcBorders>
              <w:top w:val="nil"/>
              <w:left w:val="nil"/>
              <w:bottom w:val="nil"/>
              <w:right w:val="nil"/>
            </w:tcBorders>
            <w:shd w:val="clear" w:color="auto" w:fill="auto"/>
            <w:noWrap/>
            <w:vAlign w:val="bottom"/>
            <w:hideMark/>
          </w:tcPr>
          <w:p w:rsidR="006D5EB6" w:rsidRPr="00EB14D3" w:rsidRDefault="006D5EB6" w:rsidP="006D5EB6">
            <w:pPr>
              <w:spacing w:after="0" w:line="240" w:lineRule="auto"/>
              <w:jc w:val="center"/>
              <w:rPr>
                <w:rFonts w:ascii="Calibri" w:eastAsia="Times New Roman" w:hAnsi="Calibri" w:cs="Calibri"/>
                <w:color w:val="000000"/>
                <w:lang w:eastAsia="es-EC"/>
              </w:rPr>
            </w:pPr>
            <w:r w:rsidRPr="00EB14D3">
              <w:rPr>
                <w:rFonts w:ascii="Calibri" w:eastAsia="Times New Roman" w:hAnsi="Calibri" w:cs="Calibri"/>
                <w:color w:val="000000"/>
                <w:lang w:eastAsia="es-EC"/>
              </w:rPr>
              <w:t>Desde 01-01-2011 Hasta 31-12-2011</w:t>
            </w:r>
          </w:p>
        </w:tc>
        <w:tc>
          <w:tcPr>
            <w:tcW w:w="1416" w:type="dxa"/>
            <w:tcBorders>
              <w:top w:val="nil"/>
              <w:left w:val="nil"/>
              <w:bottom w:val="nil"/>
              <w:right w:val="nil"/>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p>
        </w:tc>
        <w:tc>
          <w:tcPr>
            <w:tcW w:w="1508" w:type="dxa"/>
            <w:tcBorders>
              <w:top w:val="nil"/>
              <w:left w:val="nil"/>
              <w:bottom w:val="nil"/>
              <w:right w:val="nil"/>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p>
        </w:tc>
      </w:tr>
      <w:tr w:rsidR="006D5EB6" w:rsidRPr="00EB14D3" w:rsidTr="006D5EB6">
        <w:trPr>
          <w:trHeight w:val="296"/>
        </w:trPr>
        <w:tc>
          <w:tcPr>
            <w:tcW w:w="736" w:type="dxa"/>
            <w:tcBorders>
              <w:top w:val="nil"/>
              <w:left w:val="nil"/>
              <w:bottom w:val="single" w:sz="4" w:space="0" w:color="00FF00"/>
              <w:right w:val="nil"/>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p>
        </w:tc>
        <w:tc>
          <w:tcPr>
            <w:tcW w:w="735" w:type="dxa"/>
            <w:tcBorders>
              <w:top w:val="nil"/>
              <w:left w:val="nil"/>
              <w:bottom w:val="single" w:sz="4" w:space="0" w:color="00FF00"/>
              <w:right w:val="nil"/>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p>
        </w:tc>
        <w:tc>
          <w:tcPr>
            <w:tcW w:w="2425" w:type="dxa"/>
            <w:tcBorders>
              <w:top w:val="nil"/>
              <w:left w:val="nil"/>
              <w:bottom w:val="single" w:sz="4" w:space="0" w:color="00FF00"/>
              <w:right w:val="nil"/>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p>
        </w:tc>
        <w:tc>
          <w:tcPr>
            <w:tcW w:w="1180" w:type="dxa"/>
            <w:tcBorders>
              <w:top w:val="nil"/>
              <w:left w:val="nil"/>
              <w:bottom w:val="single" w:sz="4" w:space="0" w:color="00FF00"/>
              <w:right w:val="nil"/>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p>
        </w:tc>
        <w:tc>
          <w:tcPr>
            <w:tcW w:w="1179" w:type="dxa"/>
            <w:tcBorders>
              <w:top w:val="nil"/>
              <w:left w:val="nil"/>
              <w:bottom w:val="single" w:sz="4" w:space="0" w:color="00FF00"/>
              <w:right w:val="nil"/>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p>
        </w:tc>
        <w:tc>
          <w:tcPr>
            <w:tcW w:w="1416" w:type="dxa"/>
            <w:tcBorders>
              <w:top w:val="nil"/>
              <w:left w:val="nil"/>
              <w:bottom w:val="single" w:sz="4" w:space="0" w:color="00FF00"/>
              <w:right w:val="nil"/>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p>
        </w:tc>
        <w:tc>
          <w:tcPr>
            <w:tcW w:w="1508" w:type="dxa"/>
            <w:tcBorders>
              <w:top w:val="nil"/>
              <w:left w:val="nil"/>
              <w:bottom w:val="single" w:sz="4" w:space="0" w:color="00FF00"/>
              <w:right w:val="nil"/>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p>
        </w:tc>
      </w:tr>
      <w:tr w:rsidR="006D5EB6" w:rsidRPr="00EB14D3" w:rsidTr="006D5EB6">
        <w:trPr>
          <w:trHeight w:val="296"/>
        </w:trPr>
        <w:tc>
          <w:tcPr>
            <w:tcW w:w="3896" w:type="dxa"/>
            <w:gridSpan w:val="3"/>
            <w:vMerge w:val="restart"/>
            <w:tcBorders>
              <w:top w:val="single" w:sz="4" w:space="0" w:color="00FF00"/>
              <w:left w:val="single" w:sz="4" w:space="0" w:color="00FF00"/>
              <w:bottom w:val="single" w:sz="4" w:space="0" w:color="00FF00"/>
              <w:right w:val="single" w:sz="4" w:space="0" w:color="00FF00"/>
            </w:tcBorders>
            <w:shd w:val="clear" w:color="auto" w:fill="auto"/>
            <w:noWrap/>
            <w:vAlign w:val="center"/>
            <w:hideMark/>
          </w:tcPr>
          <w:p w:rsidR="006D5EB6" w:rsidRPr="00EB14D3" w:rsidRDefault="006D5EB6" w:rsidP="006D5EB6">
            <w:pPr>
              <w:spacing w:after="0" w:line="240" w:lineRule="auto"/>
              <w:jc w:val="center"/>
              <w:rPr>
                <w:rFonts w:ascii="Calibri" w:eastAsia="Times New Roman" w:hAnsi="Calibri" w:cs="Calibri"/>
                <w:b/>
                <w:bCs/>
                <w:color w:val="376091"/>
                <w:lang w:eastAsia="es-EC"/>
              </w:rPr>
            </w:pPr>
            <w:r w:rsidRPr="00EB14D3">
              <w:rPr>
                <w:rFonts w:ascii="Calibri" w:eastAsia="Times New Roman" w:hAnsi="Calibri" w:cs="Calibri"/>
                <w:b/>
                <w:bCs/>
                <w:color w:val="376091"/>
                <w:lang w:eastAsia="es-EC"/>
              </w:rPr>
              <w:t>Descripción de la Cuenta</w:t>
            </w:r>
          </w:p>
        </w:tc>
        <w:tc>
          <w:tcPr>
            <w:tcW w:w="1180" w:type="dxa"/>
            <w:vMerge w:val="restart"/>
            <w:tcBorders>
              <w:top w:val="single" w:sz="4" w:space="0" w:color="00FF00"/>
              <w:left w:val="single" w:sz="4" w:space="0" w:color="00FF00"/>
              <w:bottom w:val="single" w:sz="4" w:space="0" w:color="00FF00"/>
              <w:right w:val="single" w:sz="4" w:space="0" w:color="00FF00"/>
            </w:tcBorders>
            <w:shd w:val="clear" w:color="auto" w:fill="auto"/>
            <w:noWrap/>
            <w:vAlign w:val="center"/>
            <w:hideMark/>
          </w:tcPr>
          <w:p w:rsidR="006D5EB6" w:rsidRPr="00EB14D3" w:rsidRDefault="006D5EB6" w:rsidP="006D5EB6">
            <w:pPr>
              <w:spacing w:after="0" w:line="240" w:lineRule="auto"/>
              <w:jc w:val="center"/>
              <w:rPr>
                <w:rFonts w:ascii="Calibri" w:eastAsia="Times New Roman" w:hAnsi="Calibri" w:cs="Calibri"/>
                <w:b/>
                <w:bCs/>
                <w:color w:val="376091"/>
                <w:lang w:eastAsia="es-EC"/>
              </w:rPr>
            </w:pPr>
            <w:r w:rsidRPr="00EB14D3">
              <w:rPr>
                <w:rFonts w:ascii="Calibri" w:eastAsia="Times New Roman" w:hAnsi="Calibri" w:cs="Calibri"/>
                <w:b/>
                <w:bCs/>
                <w:color w:val="376091"/>
                <w:lang w:eastAsia="es-EC"/>
              </w:rPr>
              <w:t>2010</w:t>
            </w:r>
          </w:p>
        </w:tc>
        <w:tc>
          <w:tcPr>
            <w:tcW w:w="1179" w:type="dxa"/>
            <w:vMerge w:val="restart"/>
            <w:tcBorders>
              <w:top w:val="single" w:sz="4" w:space="0" w:color="00FF00"/>
              <w:left w:val="single" w:sz="4" w:space="0" w:color="00FF00"/>
              <w:bottom w:val="single" w:sz="4" w:space="0" w:color="00FF00"/>
              <w:right w:val="single" w:sz="4" w:space="0" w:color="00FF00"/>
            </w:tcBorders>
            <w:shd w:val="clear" w:color="auto" w:fill="auto"/>
            <w:noWrap/>
            <w:vAlign w:val="center"/>
            <w:hideMark/>
          </w:tcPr>
          <w:p w:rsidR="006D5EB6" w:rsidRPr="00EB14D3" w:rsidRDefault="006D5EB6" w:rsidP="006D5EB6">
            <w:pPr>
              <w:spacing w:after="0" w:line="240" w:lineRule="auto"/>
              <w:jc w:val="center"/>
              <w:rPr>
                <w:rFonts w:ascii="Calibri" w:eastAsia="Times New Roman" w:hAnsi="Calibri" w:cs="Calibri"/>
                <w:b/>
                <w:bCs/>
                <w:color w:val="376091"/>
                <w:lang w:eastAsia="es-EC"/>
              </w:rPr>
            </w:pPr>
            <w:r w:rsidRPr="00EB14D3">
              <w:rPr>
                <w:rFonts w:ascii="Calibri" w:eastAsia="Times New Roman" w:hAnsi="Calibri" w:cs="Calibri"/>
                <w:b/>
                <w:bCs/>
                <w:color w:val="376091"/>
                <w:lang w:eastAsia="es-EC"/>
              </w:rPr>
              <w:t>2011</w:t>
            </w:r>
          </w:p>
        </w:tc>
        <w:tc>
          <w:tcPr>
            <w:tcW w:w="1416" w:type="dxa"/>
            <w:vMerge w:val="restart"/>
            <w:tcBorders>
              <w:top w:val="single" w:sz="4" w:space="0" w:color="00FF00"/>
              <w:left w:val="single" w:sz="4" w:space="0" w:color="00FF00"/>
              <w:bottom w:val="single" w:sz="4" w:space="0" w:color="00FF00"/>
              <w:right w:val="single" w:sz="4" w:space="0" w:color="00FF00"/>
            </w:tcBorders>
            <w:shd w:val="clear" w:color="auto" w:fill="auto"/>
            <w:noWrap/>
            <w:vAlign w:val="center"/>
            <w:hideMark/>
          </w:tcPr>
          <w:p w:rsidR="006D5EB6" w:rsidRPr="00EB14D3" w:rsidRDefault="006D5EB6" w:rsidP="006D5EB6">
            <w:pPr>
              <w:spacing w:after="0" w:line="240" w:lineRule="auto"/>
              <w:jc w:val="center"/>
              <w:rPr>
                <w:rFonts w:ascii="Calibri" w:eastAsia="Times New Roman" w:hAnsi="Calibri" w:cs="Calibri"/>
                <w:b/>
                <w:bCs/>
                <w:color w:val="376091"/>
                <w:lang w:eastAsia="es-EC"/>
              </w:rPr>
            </w:pPr>
            <w:r w:rsidRPr="00EB14D3">
              <w:rPr>
                <w:rFonts w:ascii="Calibri" w:eastAsia="Times New Roman" w:hAnsi="Calibri" w:cs="Calibri"/>
                <w:b/>
                <w:bCs/>
                <w:color w:val="376091"/>
                <w:lang w:eastAsia="es-EC"/>
              </w:rPr>
              <w:t xml:space="preserve">Valor Absoluto </w:t>
            </w:r>
          </w:p>
        </w:tc>
        <w:tc>
          <w:tcPr>
            <w:tcW w:w="1508" w:type="dxa"/>
            <w:vMerge w:val="restart"/>
            <w:tcBorders>
              <w:top w:val="single" w:sz="4" w:space="0" w:color="00FF00"/>
              <w:left w:val="single" w:sz="4" w:space="0" w:color="00FF00"/>
              <w:bottom w:val="single" w:sz="4" w:space="0" w:color="00FF00"/>
              <w:right w:val="single" w:sz="4" w:space="0" w:color="00FF00"/>
            </w:tcBorders>
            <w:shd w:val="clear" w:color="auto" w:fill="auto"/>
            <w:noWrap/>
            <w:vAlign w:val="center"/>
            <w:hideMark/>
          </w:tcPr>
          <w:p w:rsidR="006D5EB6" w:rsidRPr="00EB14D3" w:rsidRDefault="006D5EB6" w:rsidP="006D5EB6">
            <w:pPr>
              <w:spacing w:after="0" w:line="240" w:lineRule="auto"/>
              <w:jc w:val="center"/>
              <w:rPr>
                <w:rFonts w:ascii="Calibri" w:eastAsia="Times New Roman" w:hAnsi="Calibri" w:cs="Calibri"/>
                <w:b/>
                <w:bCs/>
                <w:color w:val="376091"/>
                <w:lang w:eastAsia="es-EC"/>
              </w:rPr>
            </w:pPr>
            <w:r w:rsidRPr="00EB14D3">
              <w:rPr>
                <w:rFonts w:ascii="Calibri" w:eastAsia="Times New Roman" w:hAnsi="Calibri" w:cs="Calibri"/>
                <w:b/>
                <w:bCs/>
                <w:color w:val="376091"/>
                <w:lang w:eastAsia="es-EC"/>
              </w:rPr>
              <w:t>Valor Relativo</w:t>
            </w:r>
          </w:p>
        </w:tc>
      </w:tr>
      <w:tr w:rsidR="006D5EB6" w:rsidRPr="00EB14D3" w:rsidTr="006D5EB6">
        <w:trPr>
          <w:trHeight w:val="296"/>
        </w:trPr>
        <w:tc>
          <w:tcPr>
            <w:tcW w:w="3896" w:type="dxa"/>
            <w:gridSpan w:val="3"/>
            <w:vMerge/>
            <w:tcBorders>
              <w:top w:val="single" w:sz="4" w:space="0" w:color="00FF00"/>
              <w:left w:val="single" w:sz="4" w:space="0" w:color="00FF00"/>
              <w:bottom w:val="single" w:sz="4" w:space="0" w:color="00FF00"/>
              <w:right w:val="single" w:sz="4" w:space="0" w:color="00FF00"/>
            </w:tcBorders>
            <w:vAlign w:val="center"/>
            <w:hideMark/>
          </w:tcPr>
          <w:p w:rsidR="006D5EB6" w:rsidRPr="00EB14D3" w:rsidRDefault="006D5EB6" w:rsidP="006D5EB6">
            <w:pPr>
              <w:spacing w:after="0" w:line="240" w:lineRule="auto"/>
              <w:rPr>
                <w:rFonts w:ascii="Calibri" w:eastAsia="Times New Roman" w:hAnsi="Calibri" w:cs="Calibri"/>
                <w:b/>
                <w:bCs/>
                <w:color w:val="376091"/>
                <w:lang w:eastAsia="es-EC"/>
              </w:rPr>
            </w:pPr>
          </w:p>
        </w:tc>
        <w:tc>
          <w:tcPr>
            <w:tcW w:w="1180" w:type="dxa"/>
            <w:vMerge/>
            <w:tcBorders>
              <w:top w:val="single" w:sz="4" w:space="0" w:color="00FF00"/>
              <w:left w:val="single" w:sz="4" w:space="0" w:color="00FF00"/>
              <w:bottom w:val="single" w:sz="4" w:space="0" w:color="00FF00"/>
              <w:right w:val="single" w:sz="4" w:space="0" w:color="00FF00"/>
            </w:tcBorders>
            <w:vAlign w:val="center"/>
            <w:hideMark/>
          </w:tcPr>
          <w:p w:rsidR="006D5EB6" w:rsidRPr="00EB14D3" w:rsidRDefault="006D5EB6" w:rsidP="006D5EB6">
            <w:pPr>
              <w:spacing w:after="0" w:line="240" w:lineRule="auto"/>
              <w:rPr>
                <w:rFonts w:ascii="Calibri" w:eastAsia="Times New Roman" w:hAnsi="Calibri" w:cs="Calibri"/>
                <w:b/>
                <w:bCs/>
                <w:color w:val="376091"/>
                <w:lang w:eastAsia="es-EC"/>
              </w:rPr>
            </w:pPr>
          </w:p>
        </w:tc>
        <w:tc>
          <w:tcPr>
            <w:tcW w:w="1179" w:type="dxa"/>
            <w:vMerge/>
            <w:tcBorders>
              <w:top w:val="single" w:sz="4" w:space="0" w:color="00FF00"/>
              <w:left w:val="single" w:sz="4" w:space="0" w:color="00FF00"/>
              <w:bottom w:val="single" w:sz="4" w:space="0" w:color="00FF00"/>
              <w:right w:val="single" w:sz="4" w:space="0" w:color="00FF00"/>
            </w:tcBorders>
            <w:vAlign w:val="center"/>
            <w:hideMark/>
          </w:tcPr>
          <w:p w:rsidR="006D5EB6" w:rsidRPr="00EB14D3" w:rsidRDefault="006D5EB6" w:rsidP="006D5EB6">
            <w:pPr>
              <w:spacing w:after="0" w:line="240" w:lineRule="auto"/>
              <w:rPr>
                <w:rFonts w:ascii="Calibri" w:eastAsia="Times New Roman" w:hAnsi="Calibri" w:cs="Calibri"/>
                <w:b/>
                <w:bCs/>
                <w:color w:val="376091"/>
                <w:lang w:eastAsia="es-EC"/>
              </w:rPr>
            </w:pPr>
          </w:p>
        </w:tc>
        <w:tc>
          <w:tcPr>
            <w:tcW w:w="1416" w:type="dxa"/>
            <w:vMerge/>
            <w:tcBorders>
              <w:top w:val="single" w:sz="4" w:space="0" w:color="00FF00"/>
              <w:left w:val="single" w:sz="4" w:space="0" w:color="00FF00"/>
              <w:bottom w:val="single" w:sz="4" w:space="0" w:color="00FF00"/>
              <w:right w:val="single" w:sz="4" w:space="0" w:color="00FF00"/>
            </w:tcBorders>
            <w:vAlign w:val="center"/>
            <w:hideMark/>
          </w:tcPr>
          <w:p w:rsidR="006D5EB6" w:rsidRPr="00EB14D3" w:rsidRDefault="006D5EB6" w:rsidP="006D5EB6">
            <w:pPr>
              <w:spacing w:after="0" w:line="240" w:lineRule="auto"/>
              <w:rPr>
                <w:rFonts w:ascii="Calibri" w:eastAsia="Times New Roman" w:hAnsi="Calibri" w:cs="Calibri"/>
                <w:b/>
                <w:bCs/>
                <w:color w:val="376091"/>
                <w:lang w:eastAsia="es-EC"/>
              </w:rPr>
            </w:pPr>
          </w:p>
        </w:tc>
        <w:tc>
          <w:tcPr>
            <w:tcW w:w="1508" w:type="dxa"/>
            <w:vMerge/>
            <w:tcBorders>
              <w:top w:val="single" w:sz="4" w:space="0" w:color="00FF00"/>
              <w:left w:val="single" w:sz="4" w:space="0" w:color="00FF00"/>
              <w:bottom w:val="single" w:sz="4" w:space="0" w:color="00FF00"/>
              <w:right w:val="single" w:sz="4" w:space="0" w:color="00FF00"/>
            </w:tcBorders>
            <w:vAlign w:val="center"/>
            <w:hideMark/>
          </w:tcPr>
          <w:p w:rsidR="006D5EB6" w:rsidRPr="00EB14D3" w:rsidRDefault="006D5EB6" w:rsidP="006D5EB6">
            <w:pPr>
              <w:spacing w:after="0" w:line="240" w:lineRule="auto"/>
              <w:rPr>
                <w:rFonts w:ascii="Calibri" w:eastAsia="Times New Roman" w:hAnsi="Calibri" w:cs="Calibri"/>
                <w:b/>
                <w:bCs/>
                <w:color w:val="376091"/>
                <w:lang w:eastAsia="es-EC"/>
              </w:rPr>
            </w:pPr>
          </w:p>
        </w:tc>
      </w:tr>
      <w:tr w:rsidR="006D5EB6" w:rsidRPr="00EB14D3" w:rsidTr="006D5EB6">
        <w:trPr>
          <w:trHeight w:val="296"/>
        </w:trPr>
        <w:tc>
          <w:tcPr>
            <w:tcW w:w="3896" w:type="dxa"/>
            <w:gridSpan w:val="3"/>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r w:rsidRPr="00EB14D3">
              <w:rPr>
                <w:rFonts w:ascii="Calibri" w:eastAsia="Times New Roman" w:hAnsi="Calibri" w:cs="Calibri"/>
                <w:color w:val="000000"/>
                <w:lang w:eastAsia="es-EC"/>
              </w:rPr>
              <w:t>Ventas</w:t>
            </w:r>
          </w:p>
        </w:tc>
        <w:tc>
          <w:tcPr>
            <w:tcW w:w="1180" w:type="dxa"/>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34.058,00</w:t>
            </w:r>
          </w:p>
        </w:tc>
        <w:tc>
          <w:tcPr>
            <w:tcW w:w="1179" w:type="dxa"/>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33.998,00</w:t>
            </w:r>
          </w:p>
        </w:tc>
        <w:tc>
          <w:tcPr>
            <w:tcW w:w="1416" w:type="dxa"/>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9966FF"/>
                <w:lang w:eastAsia="es-EC"/>
              </w:rPr>
            </w:pPr>
            <w:r w:rsidRPr="00EB14D3">
              <w:rPr>
                <w:rFonts w:ascii="Calibri" w:eastAsia="Times New Roman" w:hAnsi="Calibri" w:cs="Calibri"/>
                <w:color w:val="9966FF"/>
                <w:lang w:eastAsia="es-EC"/>
              </w:rPr>
              <w:t>-60,00</w:t>
            </w:r>
          </w:p>
        </w:tc>
        <w:tc>
          <w:tcPr>
            <w:tcW w:w="1508" w:type="dxa"/>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9966FF"/>
                <w:lang w:eastAsia="es-EC"/>
              </w:rPr>
            </w:pPr>
            <w:r w:rsidRPr="005D29F5">
              <w:rPr>
                <w:rFonts w:ascii="Calibri" w:eastAsia="Times New Roman" w:hAnsi="Calibri" w:cs="Calibri"/>
                <w:b/>
                <w:bCs/>
                <w:noProof/>
                <w:color w:val="376091"/>
                <w:lang w:eastAsia="es-EC"/>
              </w:rPr>
              <w:pict>
                <v:shape id="_x0000_s1034" type="#_x0000_t106" style="position:absolute;left:0;text-align:left;margin-left:90.9pt;margin-top:.5pt;width:114.25pt;height:63.45pt;z-index:251671552;mso-position-horizontal-relative:text;mso-position-vertical-relative:text" adj="-2722,21038" strokecolor="#92d050">
                  <v:textbox>
                    <w:txbxContent>
                      <w:p w:rsidR="006D5EB6" w:rsidRDefault="006D5EB6" w:rsidP="006D5EB6">
                        <w:r>
                          <w:t>ESTRUCTURA OPERATIVA</w:t>
                        </w:r>
                      </w:p>
                    </w:txbxContent>
                  </v:textbox>
                </v:shape>
              </w:pict>
            </w:r>
            <w:r w:rsidRPr="00EB14D3">
              <w:rPr>
                <w:rFonts w:ascii="Calibri" w:eastAsia="Times New Roman" w:hAnsi="Calibri" w:cs="Calibri"/>
                <w:color w:val="9966FF"/>
                <w:lang w:eastAsia="es-EC"/>
              </w:rPr>
              <w:t>-0,18</w:t>
            </w:r>
          </w:p>
        </w:tc>
      </w:tr>
      <w:tr w:rsidR="006D5EB6" w:rsidRPr="00EB14D3" w:rsidTr="006D5EB6">
        <w:trPr>
          <w:trHeight w:val="296"/>
        </w:trPr>
        <w:tc>
          <w:tcPr>
            <w:tcW w:w="3896" w:type="dxa"/>
            <w:gridSpan w:val="3"/>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r w:rsidRPr="00EB14D3">
              <w:rPr>
                <w:rFonts w:ascii="Calibri" w:eastAsia="Times New Roman" w:hAnsi="Calibri" w:cs="Calibri"/>
                <w:color w:val="000000"/>
                <w:lang w:eastAsia="es-EC"/>
              </w:rPr>
              <w:t>Costo de Ventas</w:t>
            </w:r>
          </w:p>
        </w:tc>
        <w:tc>
          <w:tcPr>
            <w:tcW w:w="1180" w:type="dxa"/>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16.298,38</w:t>
            </w:r>
          </w:p>
        </w:tc>
        <w:tc>
          <w:tcPr>
            <w:tcW w:w="1179" w:type="dxa"/>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20.104,20</w:t>
            </w:r>
          </w:p>
        </w:tc>
        <w:tc>
          <w:tcPr>
            <w:tcW w:w="1416" w:type="dxa"/>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9966FF"/>
                <w:lang w:eastAsia="es-EC"/>
              </w:rPr>
            </w:pPr>
            <w:r w:rsidRPr="00EB14D3">
              <w:rPr>
                <w:rFonts w:ascii="Calibri" w:eastAsia="Times New Roman" w:hAnsi="Calibri" w:cs="Calibri"/>
                <w:color w:val="9966FF"/>
                <w:lang w:eastAsia="es-EC"/>
              </w:rPr>
              <w:t>3.805,82</w:t>
            </w:r>
          </w:p>
        </w:tc>
        <w:tc>
          <w:tcPr>
            <w:tcW w:w="1508" w:type="dxa"/>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9966FF"/>
                <w:lang w:eastAsia="es-EC"/>
              </w:rPr>
            </w:pPr>
            <w:r w:rsidRPr="00EB14D3">
              <w:rPr>
                <w:rFonts w:ascii="Calibri" w:eastAsia="Times New Roman" w:hAnsi="Calibri" w:cs="Calibri"/>
                <w:color w:val="9966FF"/>
                <w:lang w:eastAsia="es-EC"/>
              </w:rPr>
              <w:t>23,35</w:t>
            </w:r>
          </w:p>
        </w:tc>
      </w:tr>
      <w:tr w:rsidR="006D5EB6" w:rsidRPr="00EB14D3" w:rsidTr="006D5EB6">
        <w:trPr>
          <w:trHeight w:val="296"/>
        </w:trPr>
        <w:tc>
          <w:tcPr>
            <w:tcW w:w="3896" w:type="dxa"/>
            <w:gridSpan w:val="3"/>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b/>
                <w:bCs/>
                <w:color w:val="000000"/>
                <w:lang w:eastAsia="es-EC"/>
              </w:rPr>
            </w:pPr>
            <w:r w:rsidRPr="00EB14D3">
              <w:rPr>
                <w:rFonts w:ascii="Calibri" w:eastAsia="Times New Roman" w:hAnsi="Calibri" w:cs="Calibri"/>
                <w:b/>
                <w:bCs/>
                <w:color w:val="000000"/>
                <w:lang w:eastAsia="es-EC"/>
              </w:rPr>
              <w:t>UTILIDAD BRUTA EN VENTAS</w:t>
            </w:r>
          </w:p>
        </w:tc>
        <w:tc>
          <w:tcPr>
            <w:tcW w:w="1180" w:type="dxa"/>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b/>
                <w:bCs/>
                <w:color w:val="000000"/>
                <w:lang w:eastAsia="es-EC"/>
              </w:rPr>
            </w:pPr>
            <w:r w:rsidRPr="00EB14D3">
              <w:rPr>
                <w:rFonts w:ascii="Calibri" w:eastAsia="Times New Roman" w:hAnsi="Calibri" w:cs="Calibri"/>
                <w:b/>
                <w:bCs/>
                <w:color w:val="000000"/>
                <w:lang w:eastAsia="es-EC"/>
              </w:rPr>
              <w:t>17.759,62</w:t>
            </w:r>
          </w:p>
        </w:tc>
        <w:tc>
          <w:tcPr>
            <w:tcW w:w="1179" w:type="dxa"/>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b/>
                <w:bCs/>
                <w:color w:val="000000"/>
                <w:lang w:eastAsia="es-EC"/>
              </w:rPr>
            </w:pPr>
            <w:r w:rsidRPr="00EB14D3">
              <w:rPr>
                <w:rFonts w:ascii="Calibri" w:eastAsia="Times New Roman" w:hAnsi="Calibri" w:cs="Calibri"/>
                <w:b/>
                <w:bCs/>
                <w:color w:val="000000"/>
                <w:lang w:eastAsia="es-EC"/>
              </w:rPr>
              <w:t>13.893,80</w:t>
            </w:r>
          </w:p>
        </w:tc>
        <w:tc>
          <w:tcPr>
            <w:tcW w:w="1416" w:type="dxa"/>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9966FF"/>
                <w:lang w:eastAsia="es-EC"/>
              </w:rPr>
            </w:pPr>
            <w:r w:rsidRPr="00EB14D3">
              <w:rPr>
                <w:rFonts w:ascii="Calibri" w:eastAsia="Times New Roman" w:hAnsi="Calibri" w:cs="Calibri"/>
                <w:color w:val="9966FF"/>
                <w:lang w:eastAsia="es-EC"/>
              </w:rPr>
              <w:t> </w:t>
            </w:r>
          </w:p>
        </w:tc>
        <w:tc>
          <w:tcPr>
            <w:tcW w:w="1508" w:type="dxa"/>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9966FF"/>
                <w:lang w:eastAsia="es-EC"/>
              </w:rPr>
            </w:pPr>
            <w:r w:rsidRPr="00EB14D3">
              <w:rPr>
                <w:rFonts w:ascii="Calibri" w:eastAsia="Times New Roman" w:hAnsi="Calibri" w:cs="Calibri"/>
                <w:color w:val="9966FF"/>
                <w:lang w:eastAsia="es-EC"/>
              </w:rPr>
              <w:t> </w:t>
            </w:r>
          </w:p>
        </w:tc>
      </w:tr>
      <w:tr w:rsidR="006D5EB6" w:rsidRPr="00EB14D3" w:rsidTr="006D5EB6">
        <w:trPr>
          <w:trHeight w:val="296"/>
        </w:trPr>
        <w:tc>
          <w:tcPr>
            <w:tcW w:w="3896" w:type="dxa"/>
            <w:gridSpan w:val="3"/>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r w:rsidRPr="00EB14D3">
              <w:rPr>
                <w:rFonts w:ascii="Calibri" w:eastAsia="Times New Roman" w:hAnsi="Calibri" w:cs="Calibri"/>
                <w:color w:val="000000"/>
                <w:lang w:eastAsia="es-EC"/>
              </w:rPr>
              <w:t> </w:t>
            </w:r>
          </w:p>
        </w:tc>
        <w:tc>
          <w:tcPr>
            <w:tcW w:w="1180" w:type="dxa"/>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 </w:t>
            </w:r>
          </w:p>
        </w:tc>
        <w:tc>
          <w:tcPr>
            <w:tcW w:w="1179" w:type="dxa"/>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 </w:t>
            </w:r>
          </w:p>
        </w:tc>
        <w:tc>
          <w:tcPr>
            <w:tcW w:w="1416" w:type="dxa"/>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9966FF"/>
                <w:lang w:eastAsia="es-EC"/>
              </w:rPr>
            </w:pPr>
            <w:r w:rsidRPr="00EB14D3">
              <w:rPr>
                <w:rFonts w:ascii="Calibri" w:eastAsia="Times New Roman" w:hAnsi="Calibri" w:cs="Calibri"/>
                <w:color w:val="9966FF"/>
                <w:lang w:eastAsia="es-EC"/>
              </w:rPr>
              <w:t> </w:t>
            </w:r>
          </w:p>
        </w:tc>
        <w:tc>
          <w:tcPr>
            <w:tcW w:w="1508" w:type="dxa"/>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9966FF"/>
                <w:lang w:eastAsia="es-EC"/>
              </w:rPr>
            </w:pPr>
            <w:r w:rsidRPr="00EB14D3">
              <w:rPr>
                <w:rFonts w:ascii="Calibri" w:eastAsia="Times New Roman" w:hAnsi="Calibri" w:cs="Calibri"/>
                <w:color w:val="9966FF"/>
                <w:lang w:eastAsia="es-EC"/>
              </w:rPr>
              <w:t> </w:t>
            </w:r>
          </w:p>
        </w:tc>
      </w:tr>
      <w:tr w:rsidR="006D5EB6" w:rsidRPr="00EB14D3" w:rsidTr="006D5EB6">
        <w:trPr>
          <w:trHeight w:val="296"/>
        </w:trPr>
        <w:tc>
          <w:tcPr>
            <w:tcW w:w="3896" w:type="dxa"/>
            <w:gridSpan w:val="3"/>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r w:rsidRPr="00EB14D3">
              <w:rPr>
                <w:rFonts w:ascii="Calibri" w:eastAsia="Times New Roman" w:hAnsi="Calibri" w:cs="Calibri"/>
                <w:color w:val="000000"/>
                <w:lang w:eastAsia="es-EC"/>
              </w:rPr>
              <w:t>Gastos Administrativos</w:t>
            </w:r>
          </w:p>
        </w:tc>
        <w:tc>
          <w:tcPr>
            <w:tcW w:w="1180" w:type="dxa"/>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46.602,99</w:t>
            </w:r>
          </w:p>
        </w:tc>
        <w:tc>
          <w:tcPr>
            <w:tcW w:w="1179" w:type="dxa"/>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42.795,62</w:t>
            </w:r>
          </w:p>
        </w:tc>
        <w:tc>
          <w:tcPr>
            <w:tcW w:w="1416" w:type="dxa"/>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9966FF"/>
                <w:lang w:eastAsia="es-EC"/>
              </w:rPr>
            </w:pPr>
            <w:r w:rsidRPr="00EB14D3">
              <w:rPr>
                <w:rFonts w:ascii="Calibri" w:eastAsia="Times New Roman" w:hAnsi="Calibri" w:cs="Calibri"/>
                <w:color w:val="9966FF"/>
                <w:lang w:eastAsia="es-EC"/>
              </w:rPr>
              <w:t>-3.807,37</w:t>
            </w:r>
          </w:p>
        </w:tc>
        <w:tc>
          <w:tcPr>
            <w:tcW w:w="1508" w:type="dxa"/>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9966FF"/>
                <w:lang w:eastAsia="es-EC"/>
              </w:rPr>
            </w:pPr>
            <w:r w:rsidRPr="00EB14D3">
              <w:rPr>
                <w:rFonts w:ascii="Calibri" w:eastAsia="Times New Roman" w:hAnsi="Calibri" w:cs="Calibri"/>
                <w:color w:val="9966FF"/>
                <w:lang w:eastAsia="es-EC"/>
              </w:rPr>
              <w:t>-8,17</w:t>
            </w:r>
          </w:p>
        </w:tc>
      </w:tr>
      <w:tr w:rsidR="006D5EB6" w:rsidRPr="00EB14D3" w:rsidTr="006D5EB6">
        <w:trPr>
          <w:trHeight w:val="296"/>
        </w:trPr>
        <w:tc>
          <w:tcPr>
            <w:tcW w:w="3896" w:type="dxa"/>
            <w:gridSpan w:val="3"/>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r w:rsidRPr="00EB14D3">
              <w:rPr>
                <w:rFonts w:ascii="Calibri" w:eastAsia="Times New Roman" w:hAnsi="Calibri" w:cs="Calibri"/>
                <w:color w:val="000000"/>
                <w:lang w:eastAsia="es-EC"/>
              </w:rPr>
              <w:t>Gastos Comerciales</w:t>
            </w:r>
          </w:p>
        </w:tc>
        <w:tc>
          <w:tcPr>
            <w:tcW w:w="1180" w:type="dxa"/>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1.078,80</w:t>
            </w:r>
          </w:p>
        </w:tc>
        <w:tc>
          <w:tcPr>
            <w:tcW w:w="1179" w:type="dxa"/>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1.009,32</w:t>
            </w:r>
          </w:p>
        </w:tc>
        <w:tc>
          <w:tcPr>
            <w:tcW w:w="1416" w:type="dxa"/>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9966FF"/>
                <w:lang w:eastAsia="es-EC"/>
              </w:rPr>
            </w:pPr>
            <w:r w:rsidRPr="00EB14D3">
              <w:rPr>
                <w:rFonts w:ascii="Calibri" w:eastAsia="Times New Roman" w:hAnsi="Calibri" w:cs="Calibri"/>
                <w:color w:val="9966FF"/>
                <w:lang w:eastAsia="es-EC"/>
              </w:rPr>
              <w:t>-69,48</w:t>
            </w:r>
          </w:p>
        </w:tc>
        <w:tc>
          <w:tcPr>
            <w:tcW w:w="1508" w:type="dxa"/>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9966FF"/>
                <w:lang w:eastAsia="es-EC"/>
              </w:rPr>
            </w:pPr>
            <w:r w:rsidRPr="00EB14D3">
              <w:rPr>
                <w:rFonts w:ascii="Calibri" w:eastAsia="Times New Roman" w:hAnsi="Calibri" w:cs="Calibri"/>
                <w:color w:val="9966FF"/>
                <w:lang w:eastAsia="es-EC"/>
              </w:rPr>
              <w:t>-6,44</w:t>
            </w:r>
          </w:p>
        </w:tc>
      </w:tr>
      <w:tr w:rsidR="006D5EB6" w:rsidRPr="00EB14D3" w:rsidTr="006D5EB6">
        <w:trPr>
          <w:trHeight w:val="296"/>
        </w:trPr>
        <w:tc>
          <w:tcPr>
            <w:tcW w:w="3896" w:type="dxa"/>
            <w:gridSpan w:val="3"/>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r w:rsidRPr="00EB14D3">
              <w:rPr>
                <w:rFonts w:ascii="Calibri" w:eastAsia="Times New Roman" w:hAnsi="Calibri" w:cs="Calibri"/>
                <w:color w:val="000000"/>
                <w:lang w:eastAsia="es-EC"/>
              </w:rPr>
              <w:t>Gastos Ventas</w:t>
            </w:r>
          </w:p>
        </w:tc>
        <w:tc>
          <w:tcPr>
            <w:tcW w:w="1180" w:type="dxa"/>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0</w:t>
            </w:r>
          </w:p>
        </w:tc>
        <w:tc>
          <w:tcPr>
            <w:tcW w:w="1179" w:type="dxa"/>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0</w:t>
            </w:r>
          </w:p>
        </w:tc>
        <w:tc>
          <w:tcPr>
            <w:tcW w:w="1416" w:type="dxa"/>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9966FF"/>
                <w:lang w:eastAsia="es-EC"/>
              </w:rPr>
            </w:pPr>
            <w:r w:rsidRPr="00EB14D3">
              <w:rPr>
                <w:rFonts w:ascii="Calibri" w:eastAsia="Times New Roman" w:hAnsi="Calibri" w:cs="Calibri"/>
                <w:color w:val="9966FF"/>
                <w:lang w:eastAsia="es-EC"/>
              </w:rPr>
              <w:t>0</w:t>
            </w:r>
          </w:p>
        </w:tc>
        <w:tc>
          <w:tcPr>
            <w:tcW w:w="1508" w:type="dxa"/>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9966FF"/>
                <w:lang w:eastAsia="es-EC"/>
              </w:rPr>
            </w:pPr>
            <w:r w:rsidRPr="00EB14D3">
              <w:rPr>
                <w:rFonts w:ascii="Calibri" w:eastAsia="Times New Roman" w:hAnsi="Calibri" w:cs="Calibri"/>
                <w:color w:val="9966FF"/>
                <w:lang w:eastAsia="es-EC"/>
              </w:rPr>
              <w:t> </w:t>
            </w:r>
          </w:p>
        </w:tc>
      </w:tr>
      <w:tr w:rsidR="006D5EB6" w:rsidRPr="00EB14D3" w:rsidTr="006D5EB6">
        <w:trPr>
          <w:trHeight w:val="296"/>
        </w:trPr>
        <w:tc>
          <w:tcPr>
            <w:tcW w:w="3896" w:type="dxa"/>
            <w:gridSpan w:val="3"/>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b/>
                <w:bCs/>
                <w:color w:val="000000"/>
                <w:lang w:eastAsia="es-EC"/>
              </w:rPr>
            </w:pPr>
            <w:r w:rsidRPr="00EB14D3">
              <w:rPr>
                <w:rFonts w:ascii="Calibri" w:eastAsia="Times New Roman" w:hAnsi="Calibri" w:cs="Calibri"/>
                <w:b/>
                <w:bCs/>
                <w:color w:val="000000"/>
                <w:lang w:eastAsia="es-EC"/>
              </w:rPr>
              <w:t>UTILIDAD OPERATIVA</w:t>
            </w:r>
          </w:p>
        </w:tc>
        <w:tc>
          <w:tcPr>
            <w:tcW w:w="1180" w:type="dxa"/>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b/>
                <w:bCs/>
                <w:color w:val="000000"/>
                <w:lang w:eastAsia="es-EC"/>
              </w:rPr>
            </w:pPr>
            <w:r w:rsidRPr="00EB14D3">
              <w:rPr>
                <w:rFonts w:ascii="Calibri" w:eastAsia="Times New Roman" w:hAnsi="Calibri" w:cs="Calibri"/>
                <w:b/>
                <w:bCs/>
                <w:color w:val="000000"/>
                <w:lang w:eastAsia="es-EC"/>
              </w:rPr>
              <w:t>-29.922,17</w:t>
            </w:r>
          </w:p>
        </w:tc>
        <w:tc>
          <w:tcPr>
            <w:tcW w:w="1179" w:type="dxa"/>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b/>
                <w:bCs/>
                <w:color w:val="000000"/>
                <w:lang w:eastAsia="es-EC"/>
              </w:rPr>
            </w:pPr>
            <w:r w:rsidRPr="00EB14D3">
              <w:rPr>
                <w:rFonts w:ascii="Calibri" w:eastAsia="Times New Roman" w:hAnsi="Calibri" w:cs="Calibri"/>
                <w:b/>
                <w:bCs/>
                <w:color w:val="000000"/>
                <w:lang w:eastAsia="es-EC"/>
              </w:rPr>
              <w:t>-29.911,14</w:t>
            </w:r>
          </w:p>
        </w:tc>
        <w:tc>
          <w:tcPr>
            <w:tcW w:w="1416" w:type="dxa"/>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r w:rsidRPr="00EB14D3">
              <w:rPr>
                <w:rFonts w:ascii="Calibri" w:eastAsia="Times New Roman" w:hAnsi="Calibri" w:cs="Calibri"/>
                <w:color w:val="000000"/>
                <w:lang w:eastAsia="es-EC"/>
              </w:rPr>
              <w:t> </w:t>
            </w:r>
          </w:p>
        </w:tc>
        <w:tc>
          <w:tcPr>
            <w:tcW w:w="1508" w:type="dxa"/>
            <w:tcBorders>
              <w:top w:val="single" w:sz="4" w:space="0" w:color="00FF00"/>
              <w:left w:val="single" w:sz="4" w:space="0" w:color="00FF00"/>
              <w:bottom w:val="single" w:sz="4" w:space="0" w:color="00FF00"/>
              <w:right w:val="single" w:sz="4" w:space="0" w:color="00FF00"/>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r w:rsidRPr="00EB14D3">
              <w:rPr>
                <w:rFonts w:ascii="Calibri" w:eastAsia="Times New Roman" w:hAnsi="Calibri" w:cs="Calibri"/>
                <w:color w:val="000000"/>
                <w:lang w:eastAsia="es-EC"/>
              </w:rPr>
              <w:t> </w:t>
            </w:r>
          </w:p>
        </w:tc>
      </w:tr>
    </w:tbl>
    <w:p w:rsidR="006D5EB6" w:rsidRDefault="006D5EB6" w:rsidP="006D5EB6">
      <w:pPr>
        <w:spacing w:after="0" w:line="240" w:lineRule="auto"/>
        <w:jc w:val="center"/>
        <w:rPr>
          <w:rFonts w:ascii="Calibri" w:eastAsia="Times New Roman" w:hAnsi="Calibri" w:cs="Calibri"/>
          <w:b/>
          <w:bCs/>
          <w:color w:val="4F81BD"/>
          <w:lang w:eastAsia="es-EC"/>
        </w:rPr>
      </w:pPr>
    </w:p>
    <w:p w:rsidR="006D5EB6" w:rsidRDefault="006D5EB6" w:rsidP="006D5EB6">
      <w:pPr>
        <w:spacing w:after="0" w:line="240" w:lineRule="auto"/>
        <w:jc w:val="center"/>
        <w:rPr>
          <w:rFonts w:ascii="Calibri" w:eastAsia="Times New Roman" w:hAnsi="Calibri" w:cs="Calibri"/>
          <w:b/>
          <w:bCs/>
          <w:color w:val="4F81BD"/>
          <w:lang w:eastAsia="es-EC"/>
        </w:rPr>
      </w:pPr>
    </w:p>
    <w:tbl>
      <w:tblPr>
        <w:tblW w:w="9185" w:type="dxa"/>
        <w:tblInd w:w="65" w:type="dxa"/>
        <w:tblBorders>
          <w:top w:val="single" w:sz="4" w:space="0" w:color="CC9900"/>
          <w:left w:val="single" w:sz="4" w:space="0" w:color="CC9900"/>
          <w:bottom w:val="single" w:sz="4" w:space="0" w:color="CC9900"/>
          <w:right w:val="single" w:sz="4" w:space="0" w:color="CC9900"/>
          <w:insideH w:val="single" w:sz="4" w:space="0" w:color="CC9900"/>
          <w:insideV w:val="single" w:sz="4" w:space="0" w:color="CC9900"/>
        </w:tblBorders>
        <w:tblCellMar>
          <w:left w:w="70" w:type="dxa"/>
          <w:right w:w="70" w:type="dxa"/>
        </w:tblCellMar>
        <w:tblLook w:val="04A0"/>
      </w:tblPr>
      <w:tblGrid>
        <w:gridCol w:w="3942"/>
        <w:gridCol w:w="1169"/>
        <w:gridCol w:w="1143"/>
        <w:gridCol w:w="1509"/>
        <w:gridCol w:w="1452"/>
      </w:tblGrid>
      <w:tr w:rsidR="006D5EB6" w:rsidRPr="00EB14D3" w:rsidTr="006D5EB6">
        <w:trPr>
          <w:trHeight w:val="317"/>
        </w:trPr>
        <w:tc>
          <w:tcPr>
            <w:tcW w:w="3942" w:type="dxa"/>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r w:rsidRPr="00EB14D3">
              <w:rPr>
                <w:rFonts w:ascii="Calibri" w:eastAsia="Times New Roman" w:hAnsi="Calibri" w:cs="Calibri"/>
                <w:color w:val="000000"/>
                <w:lang w:eastAsia="es-EC"/>
              </w:rPr>
              <w:t>Gastos Financieros</w:t>
            </w:r>
          </w:p>
        </w:tc>
        <w:tc>
          <w:tcPr>
            <w:tcW w:w="1169" w:type="dxa"/>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0</w:t>
            </w:r>
          </w:p>
        </w:tc>
        <w:tc>
          <w:tcPr>
            <w:tcW w:w="1113" w:type="dxa"/>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0</w:t>
            </w:r>
          </w:p>
        </w:tc>
        <w:tc>
          <w:tcPr>
            <w:tcW w:w="1509" w:type="dxa"/>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9966FF"/>
                <w:lang w:eastAsia="es-EC"/>
              </w:rPr>
            </w:pPr>
            <w:r w:rsidRPr="00EB14D3">
              <w:rPr>
                <w:rFonts w:ascii="Calibri" w:eastAsia="Times New Roman" w:hAnsi="Calibri" w:cs="Calibri"/>
                <w:color w:val="9966FF"/>
                <w:lang w:eastAsia="es-EC"/>
              </w:rPr>
              <w:t>0</w:t>
            </w:r>
          </w:p>
        </w:tc>
        <w:tc>
          <w:tcPr>
            <w:tcW w:w="1452" w:type="dxa"/>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9966FF"/>
                <w:lang w:eastAsia="es-EC"/>
              </w:rPr>
            </w:pPr>
            <w:r>
              <w:rPr>
                <w:rFonts w:ascii="Calibri" w:eastAsia="Times New Roman" w:hAnsi="Calibri" w:cs="Calibri"/>
                <w:noProof/>
                <w:color w:val="9966FF"/>
                <w:lang w:eastAsia="es-EC"/>
              </w:rPr>
              <w:pict>
                <v:shape id="_x0000_s1035" type="#_x0000_t63" style="position:absolute;margin-left:78.5pt;margin-top:9.55pt;width:105.5pt;height:64.5pt;z-index:251672576;mso-position-horizontal-relative:text;mso-position-vertical-relative:text" adj="-696,29939" strokecolor="#963">
                  <v:textbox>
                    <w:txbxContent>
                      <w:p w:rsidR="006D5EB6" w:rsidRDefault="006D5EB6" w:rsidP="006D5EB6">
                        <w:r>
                          <w:t>ESTRUCTURA FINANCIERA</w:t>
                        </w:r>
                      </w:p>
                    </w:txbxContent>
                  </v:textbox>
                </v:shape>
              </w:pict>
            </w:r>
            <w:r w:rsidRPr="00EB14D3">
              <w:rPr>
                <w:rFonts w:ascii="Calibri" w:eastAsia="Times New Roman" w:hAnsi="Calibri" w:cs="Calibri"/>
                <w:color w:val="9966FF"/>
                <w:lang w:eastAsia="es-EC"/>
              </w:rPr>
              <w:t> </w:t>
            </w:r>
          </w:p>
        </w:tc>
      </w:tr>
      <w:tr w:rsidR="006D5EB6" w:rsidRPr="00EB14D3" w:rsidTr="006D5EB6">
        <w:trPr>
          <w:trHeight w:val="317"/>
        </w:trPr>
        <w:tc>
          <w:tcPr>
            <w:tcW w:w="3942" w:type="dxa"/>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r w:rsidRPr="00EB14D3">
              <w:rPr>
                <w:rFonts w:ascii="Calibri" w:eastAsia="Times New Roman" w:hAnsi="Calibri" w:cs="Calibri"/>
                <w:color w:val="000000"/>
                <w:lang w:eastAsia="es-EC"/>
              </w:rPr>
              <w:t>Ingresos no Operativos</w:t>
            </w:r>
          </w:p>
        </w:tc>
        <w:tc>
          <w:tcPr>
            <w:tcW w:w="1169" w:type="dxa"/>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92.492,16</w:t>
            </w:r>
          </w:p>
        </w:tc>
        <w:tc>
          <w:tcPr>
            <w:tcW w:w="1113" w:type="dxa"/>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133.211,45</w:t>
            </w:r>
          </w:p>
        </w:tc>
        <w:tc>
          <w:tcPr>
            <w:tcW w:w="1509" w:type="dxa"/>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9966FF"/>
                <w:lang w:eastAsia="es-EC"/>
              </w:rPr>
            </w:pPr>
            <w:r w:rsidRPr="00EB14D3">
              <w:rPr>
                <w:rFonts w:ascii="Calibri" w:eastAsia="Times New Roman" w:hAnsi="Calibri" w:cs="Calibri"/>
                <w:color w:val="9966FF"/>
                <w:lang w:eastAsia="es-EC"/>
              </w:rPr>
              <w:t>40.719,29</w:t>
            </w:r>
          </w:p>
        </w:tc>
        <w:tc>
          <w:tcPr>
            <w:tcW w:w="1452" w:type="dxa"/>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9966FF"/>
                <w:lang w:eastAsia="es-EC"/>
              </w:rPr>
            </w:pPr>
            <w:r w:rsidRPr="00EB14D3">
              <w:rPr>
                <w:rFonts w:ascii="Calibri" w:eastAsia="Times New Roman" w:hAnsi="Calibri" w:cs="Calibri"/>
                <w:color w:val="9966FF"/>
                <w:lang w:eastAsia="es-EC"/>
              </w:rPr>
              <w:t>44,02</w:t>
            </w:r>
          </w:p>
        </w:tc>
      </w:tr>
      <w:tr w:rsidR="006D5EB6" w:rsidRPr="00EB14D3" w:rsidTr="006D5EB6">
        <w:trPr>
          <w:trHeight w:val="317"/>
        </w:trPr>
        <w:tc>
          <w:tcPr>
            <w:tcW w:w="3942" w:type="dxa"/>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r w:rsidRPr="00EB14D3">
              <w:rPr>
                <w:rFonts w:ascii="Calibri" w:eastAsia="Times New Roman" w:hAnsi="Calibri" w:cs="Calibri"/>
                <w:color w:val="000000"/>
                <w:lang w:eastAsia="es-EC"/>
              </w:rPr>
              <w:t xml:space="preserve">Egresos no Operativos </w:t>
            </w:r>
          </w:p>
        </w:tc>
        <w:tc>
          <w:tcPr>
            <w:tcW w:w="1169" w:type="dxa"/>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82.063,36</w:t>
            </w:r>
          </w:p>
        </w:tc>
        <w:tc>
          <w:tcPr>
            <w:tcW w:w="1113" w:type="dxa"/>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94.376,52</w:t>
            </w:r>
          </w:p>
        </w:tc>
        <w:tc>
          <w:tcPr>
            <w:tcW w:w="1509" w:type="dxa"/>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9966FF"/>
                <w:lang w:eastAsia="es-EC"/>
              </w:rPr>
            </w:pPr>
            <w:r w:rsidRPr="00EB14D3">
              <w:rPr>
                <w:rFonts w:ascii="Calibri" w:eastAsia="Times New Roman" w:hAnsi="Calibri" w:cs="Calibri"/>
                <w:color w:val="9966FF"/>
                <w:lang w:eastAsia="es-EC"/>
              </w:rPr>
              <w:t>12.313,16</w:t>
            </w:r>
          </w:p>
        </w:tc>
        <w:tc>
          <w:tcPr>
            <w:tcW w:w="1452" w:type="dxa"/>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9966FF"/>
                <w:lang w:eastAsia="es-EC"/>
              </w:rPr>
            </w:pPr>
            <w:r w:rsidRPr="00EB14D3">
              <w:rPr>
                <w:rFonts w:ascii="Calibri" w:eastAsia="Times New Roman" w:hAnsi="Calibri" w:cs="Calibri"/>
                <w:color w:val="9966FF"/>
                <w:lang w:eastAsia="es-EC"/>
              </w:rPr>
              <w:t>15,00</w:t>
            </w:r>
          </w:p>
        </w:tc>
      </w:tr>
      <w:tr w:rsidR="006D5EB6" w:rsidRPr="00EB14D3" w:rsidTr="006D5EB6">
        <w:trPr>
          <w:trHeight w:val="317"/>
        </w:trPr>
        <w:tc>
          <w:tcPr>
            <w:tcW w:w="3942" w:type="dxa"/>
            <w:shd w:val="clear" w:color="auto" w:fill="auto"/>
            <w:noWrap/>
            <w:vAlign w:val="bottom"/>
            <w:hideMark/>
          </w:tcPr>
          <w:p w:rsidR="006D5EB6" w:rsidRPr="00EB14D3" w:rsidRDefault="006D5EB6" w:rsidP="006D5EB6">
            <w:pPr>
              <w:spacing w:after="0" w:line="240" w:lineRule="auto"/>
              <w:rPr>
                <w:rFonts w:ascii="Calibri" w:eastAsia="Times New Roman" w:hAnsi="Calibri" w:cs="Calibri"/>
                <w:b/>
                <w:bCs/>
                <w:color w:val="000000"/>
                <w:lang w:eastAsia="es-EC"/>
              </w:rPr>
            </w:pPr>
            <w:r w:rsidRPr="00EB14D3">
              <w:rPr>
                <w:rFonts w:ascii="Calibri" w:eastAsia="Times New Roman" w:hAnsi="Calibri" w:cs="Calibri"/>
                <w:b/>
                <w:bCs/>
                <w:color w:val="000000"/>
                <w:lang w:eastAsia="es-EC"/>
              </w:rPr>
              <w:t>UTILIDAD ANTES DE IMPUESTOS</w:t>
            </w:r>
          </w:p>
        </w:tc>
        <w:tc>
          <w:tcPr>
            <w:tcW w:w="1169" w:type="dxa"/>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b/>
                <w:bCs/>
                <w:color w:val="000000"/>
                <w:lang w:eastAsia="es-EC"/>
              </w:rPr>
            </w:pPr>
            <w:r w:rsidRPr="00EB14D3">
              <w:rPr>
                <w:rFonts w:ascii="Calibri" w:eastAsia="Times New Roman" w:hAnsi="Calibri" w:cs="Calibri"/>
                <w:b/>
                <w:bCs/>
                <w:color w:val="000000"/>
                <w:lang w:eastAsia="es-EC"/>
              </w:rPr>
              <w:t>-19.493,37</w:t>
            </w:r>
          </w:p>
        </w:tc>
        <w:tc>
          <w:tcPr>
            <w:tcW w:w="1113" w:type="dxa"/>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b/>
                <w:bCs/>
                <w:color w:val="000000"/>
                <w:lang w:eastAsia="es-EC"/>
              </w:rPr>
            </w:pPr>
            <w:r w:rsidRPr="00EB14D3">
              <w:rPr>
                <w:rFonts w:ascii="Calibri" w:eastAsia="Times New Roman" w:hAnsi="Calibri" w:cs="Calibri"/>
                <w:b/>
                <w:bCs/>
                <w:color w:val="000000"/>
                <w:lang w:eastAsia="es-EC"/>
              </w:rPr>
              <w:t>8.923,79</w:t>
            </w:r>
          </w:p>
        </w:tc>
        <w:tc>
          <w:tcPr>
            <w:tcW w:w="1509" w:type="dxa"/>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9966FF"/>
                <w:lang w:eastAsia="es-EC"/>
              </w:rPr>
            </w:pPr>
            <w:r w:rsidRPr="00EB14D3">
              <w:rPr>
                <w:rFonts w:ascii="Calibri" w:eastAsia="Times New Roman" w:hAnsi="Calibri" w:cs="Calibri"/>
                <w:color w:val="9966FF"/>
                <w:lang w:eastAsia="es-EC"/>
              </w:rPr>
              <w:t> </w:t>
            </w:r>
          </w:p>
        </w:tc>
        <w:tc>
          <w:tcPr>
            <w:tcW w:w="1452" w:type="dxa"/>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9966FF"/>
                <w:lang w:eastAsia="es-EC"/>
              </w:rPr>
            </w:pPr>
            <w:r w:rsidRPr="00EB14D3">
              <w:rPr>
                <w:rFonts w:ascii="Calibri" w:eastAsia="Times New Roman" w:hAnsi="Calibri" w:cs="Calibri"/>
                <w:color w:val="9966FF"/>
                <w:lang w:eastAsia="es-EC"/>
              </w:rPr>
              <w:t> </w:t>
            </w:r>
          </w:p>
        </w:tc>
      </w:tr>
      <w:tr w:rsidR="006D5EB6" w:rsidRPr="00EB14D3" w:rsidTr="006D5EB6">
        <w:trPr>
          <w:trHeight w:val="317"/>
        </w:trPr>
        <w:tc>
          <w:tcPr>
            <w:tcW w:w="3942" w:type="dxa"/>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r w:rsidRPr="00EB14D3">
              <w:rPr>
                <w:rFonts w:ascii="Calibri" w:eastAsia="Times New Roman" w:hAnsi="Calibri" w:cs="Calibri"/>
                <w:color w:val="000000"/>
                <w:lang w:eastAsia="es-EC"/>
              </w:rPr>
              <w:t>15% Participación Trabajadores</w:t>
            </w:r>
          </w:p>
        </w:tc>
        <w:tc>
          <w:tcPr>
            <w:tcW w:w="1169" w:type="dxa"/>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-2924,01</w:t>
            </w:r>
          </w:p>
        </w:tc>
        <w:tc>
          <w:tcPr>
            <w:tcW w:w="1113" w:type="dxa"/>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1338,57</w:t>
            </w:r>
          </w:p>
        </w:tc>
        <w:tc>
          <w:tcPr>
            <w:tcW w:w="1509" w:type="dxa"/>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9966FF"/>
                <w:lang w:eastAsia="es-EC"/>
              </w:rPr>
            </w:pPr>
            <w:r w:rsidRPr="00EB14D3">
              <w:rPr>
                <w:rFonts w:ascii="Calibri" w:eastAsia="Times New Roman" w:hAnsi="Calibri" w:cs="Calibri"/>
                <w:color w:val="9966FF"/>
                <w:lang w:eastAsia="es-EC"/>
              </w:rPr>
              <w:t>4262,57</w:t>
            </w:r>
          </w:p>
        </w:tc>
        <w:tc>
          <w:tcPr>
            <w:tcW w:w="1452" w:type="dxa"/>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9966FF"/>
                <w:lang w:eastAsia="es-EC"/>
              </w:rPr>
            </w:pPr>
            <w:r w:rsidRPr="00EB14D3">
              <w:rPr>
                <w:rFonts w:ascii="Calibri" w:eastAsia="Times New Roman" w:hAnsi="Calibri" w:cs="Calibri"/>
                <w:color w:val="9966FF"/>
                <w:lang w:eastAsia="es-EC"/>
              </w:rPr>
              <w:t>-145,78</w:t>
            </w:r>
          </w:p>
        </w:tc>
      </w:tr>
      <w:tr w:rsidR="006D5EB6" w:rsidRPr="00EB14D3" w:rsidTr="006D5EB6">
        <w:trPr>
          <w:trHeight w:val="317"/>
        </w:trPr>
        <w:tc>
          <w:tcPr>
            <w:tcW w:w="3942" w:type="dxa"/>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r w:rsidRPr="00EB14D3">
              <w:rPr>
                <w:rFonts w:ascii="Calibri" w:eastAsia="Times New Roman" w:hAnsi="Calibri" w:cs="Calibri"/>
                <w:color w:val="000000"/>
                <w:lang w:eastAsia="es-EC"/>
              </w:rPr>
              <w:t>24% Impuesto a la Renta</w:t>
            </w:r>
          </w:p>
        </w:tc>
        <w:tc>
          <w:tcPr>
            <w:tcW w:w="1169" w:type="dxa"/>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-18.791,61</w:t>
            </w:r>
          </w:p>
        </w:tc>
        <w:tc>
          <w:tcPr>
            <w:tcW w:w="1113" w:type="dxa"/>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1820,45</w:t>
            </w:r>
          </w:p>
        </w:tc>
        <w:tc>
          <w:tcPr>
            <w:tcW w:w="1509" w:type="dxa"/>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9966FF"/>
                <w:lang w:eastAsia="es-EC"/>
              </w:rPr>
            </w:pPr>
            <w:r w:rsidRPr="00EB14D3">
              <w:rPr>
                <w:rFonts w:ascii="Calibri" w:eastAsia="Times New Roman" w:hAnsi="Calibri" w:cs="Calibri"/>
                <w:color w:val="9966FF"/>
                <w:lang w:eastAsia="es-EC"/>
              </w:rPr>
              <w:t>20.612,06</w:t>
            </w:r>
          </w:p>
        </w:tc>
        <w:tc>
          <w:tcPr>
            <w:tcW w:w="1452" w:type="dxa"/>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9966FF"/>
                <w:lang w:eastAsia="es-EC"/>
              </w:rPr>
            </w:pPr>
            <w:r w:rsidRPr="00EB14D3">
              <w:rPr>
                <w:rFonts w:ascii="Calibri" w:eastAsia="Times New Roman" w:hAnsi="Calibri" w:cs="Calibri"/>
                <w:color w:val="9966FF"/>
                <w:lang w:eastAsia="es-EC"/>
              </w:rPr>
              <w:t>-109,69</w:t>
            </w:r>
          </w:p>
        </w:tc>
      </w:tr>
      <w:tr w:rsidR="006D5EB6" w:rsidRPr="00EB14D3" w:rsidTr="006D5EB6">
        <w:trPr>
          <w:trHeight w:val="317"/>
        </w:trPr>
        <w:tc>
          <w:tcPr>
            <w:tcW w:w="3942" w:type="dxa"/>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r w:rsidRPr="00EB14D3">
              <w:rPr>
                <w:rFonts w:ascii="Calibri" w:eastAsia="Times New Roman" w:hAnsi="Calibri" w:cs="Calibri"/>
                <w:color w:val="000000"/>
                <w:lang w:eastAsia="es-EC"/>
              </w:rPr>
              <w:t> </w:t>
            </w:r>
          </w:p>
        </w:tc>
        <w:tc>
          <w:tcPr>
            <w:tcW w:w="1169" w:type="dxa"/>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r w:rsidRPr="00EB14D3">
              <w:rPr>
                <w:rFonts w:ascii="Calibri" w:eastAsia="Times New Roman" w:hAnsi="Calibri" w:cs="Calibri"/>
                <w:color w:val="000000"/>
                <w:lang w:eastAsia="es-EC"/>
              </w:rPr>
              <w:t> </w:t>
            </w:r>
          </w:p>
        </w:tc>
        <w:tc>
          <w:tcPr>
            <w:tcW w:w="1113" w:type="dxa"/>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r w:rsidRPr="00EB14D3">
              <w:rPr>
                <w:rFonts w:ascii="Calibri" w:eastAsia="Times New Roman" w:hAnsi="Calibri" w:cs="Calibri"/>
                <w:color w:val="000000"/>
                <w:lang w:eastAsia="es-EC"/>
              </w:rPr>
              <w:t> </w:t>
            </w:r>
          </w:p>
        </w:tc>
        <w:tc>
          <w:tcPr>
            <w:tcW w:w="1509" w:type="dxa"/>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9966FF"/>
                <w:lang w:eastAsia="es-EC"/>
              </w:rPr>
            </w:pPr>
            <w:r w:rsidRPr="00EB14D3">
              <w:rPr>
                <w:rFonts w:ascii="Calibri" w:eastAsia="Times New Roman" w:hAnsi="Calibri" w:cs="Calibri"/>
                <w:color w:val="9966FF"/>
                <w:lang w:eastAsia="es-EC"/>
              </w:rPr>
              <w:t> </w:t>
            </w:r>
          </w:p>
        </w:tc>
        <w:tc>
          <w:tcPr>
            <w:tcW w:w="1452" w:type="dxa"/>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9966FF"/>
                <w:lang w:eastAsia="es-EC"/>
              </w:rPr>
            </w:pPr>
            <w:r w:rsidRPr="00EB14D3">
              <w:rPr>
                <w:rFonts w:ascii="Calibri" w:eastAsia="Times New Roman" w:hAnsi="Calibri" w:cs="Calibri"/>
                <w:color w:val="9966FF"/>
                <w:lang w:eastAsia="es-EC"/>
              </w:rPr>
              <w:t> </w:t>
            </w:r>
          </w:p>
        </w:tc>
      </w:tr>
      <w:tr w:rsidR="006D5EB6" w:rsidRPr="00EB14D3" w:rsidTr="006D5EB6">
        <w:trPr>
          <w:trHeight w:val="317"/>
        </w:trPr>
        <w:tc>
          <w:tcPr>
            <w:tcW w:w="3942" w:type="dxa"/>
            <w:shd w:val="clear" w:color="auto" w:fill="auto"/>
            <w:noWrap/>
            <w:vAlign w:val="bottom"/>
            <w:hideMark/>
          </w:tcPr>
          <w:p w:rsidR="006D5EB6" w:rsidRPr="00EB14D3" w:rsidRDefault="006D5EB6" w:rsidP="006D5EB6">
            <w:pPr>
              <w:spacing w:after="0" w:line="240" w:lineRule="auto"/>
              <w:rPr>
                <w:rFonts w:ascii="Calibri" w:eastAsia="Times New Roman" w:hAnsi="Calibri" w:cs="Calibri"/>
                <w:b/>
                <w:bCs/>
                <w:color w:val="000000"/>
                <w:lang w:eastAsia="es-EC"/>
              </w:rPr>
            </w:pPr>
            <w:r w:rsidRPr="00EB14D3">
              <w:rPr>
                <w:rFonts w:ascii="Calibri" w:eastAsia="Times New Roman" w:hAnsi="Calibri" w:cs="Calibri"/>
                <w:b/>
                <w:bCs/>
                <w:color w:val="000000"/>
                <w:lang w:eastAsia="es-EC"/>
              </w:rPr>
              <w:t>UTILIDAD NETA</w:t>
            </w:r>
          </w:p>
        </w:tc>
        <w:tc>
          <w:tcPr>
            <w:tcW w:w="1169" w:type="dxa"/>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b/>
                <w:bCs/>
                <w:color w:val="000000"/>
                <w:lang w:eastAsia="es-EC"/>
              </w:rPr>
            </w:pPr>
            <w:r w:rsidRPr="00EB14D3">
              <w:rPr>
                <w:rFonts w:ascii="Calibri" w:eastAsia="Times New Roman" w:hAnsi="Calibri" w:cs="Calibri"/>
                <w:b/>
                <w:bCs/>
                <w:color w:val="000000"/>
                <w:lang w:eastAsia="es-EC"/>
              </w:rPr>
              <w:t>2.222,24</w:t>
            </w:r>
          </w:p>
        </w:tc>
        <w:tc>
          <w:tcPr>
            <w:tcW w:w="1113" w:type="dxa"/>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b/>
                <w:bCs/>
                <w:color w:val="000000"/>
                <w:lang w:eastAsia="es-EC"/>
              </w:rPr>
            </w:pPr>
            <w:r w:rsidRPr="00EB14D3">
              <w:rPr>
                <w:rFonts w:ascii="Calibri" w:eastAsia="Times New Roman" w:hAnsi="Calibri" w:cs="Calibri"/>
                <w:b/>
                <w:bCs/>
                <w:color w:val="000000"/>
                <w:lang w:eastAsia="es-EC"/>
              </w:rPr>
              <w:t>5.764,77</w:t>
            </w:r>
          </w:p>
        </w:tc>
        <w:tc>
          <w:tcPr>
            <w:tcW w:w="1509" w:type="dxa"/>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9966FF"/>
                <w:lang w:eastAsia="es-EC"/>
              </w:rPr>
            </w:pPr>
            <w:r w:rsidRPr="00EB14D3">
              <w:rPr>
                <w:rFonts w:ascii="Calibri" w:eastAsia="Times New Roman" w:hAnsi="Calibri" w:cs="Calibri"/>
                <w:color w:val="9966FF"/>
                <w:lang w:eastAsia="es-EC"/>
              </w:rPr>
              <w:t>3.542,52</w:t>
            </w:r>
          </w:p>
        </w:tc>
        <w:tc>
          <w:tcPr>
            <w:tcW w:w="1452" w:type="dxa"/>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9966FF"/>
                <w:lang w:eastAsia="es-EC"/>
              </w:rPr>
            </w:pPr>
            <w:r w:rsidRPr="00EB14D3">
              <w:rPr>
                <w:rFonts w:ascii="Calibri" w:eastAsia="Times New Roman" w:hAnsi="Calibri" w:cs="Calibri"/>
                <w:color w:val="9966FF"/>
                <w:lang w:eastAsia="es-EC"/>
              </w:rPr>
              <w:t>159,41</w:t>
            </w:r>
          </w:p>
        </w:tc>
      </w:tr>
    </w:tbl>
    <w:p w:rsidR="006D5EB6" w:rsidRDefault="006D5EB6" w:rsidP="006D5EB6">
      <w:pPr>
        <w:spacing w:after="0" w:line="240" w:lineRule="auto"/>
        <w:jc w:val="center"/>
        <w:rPr>
          <w:rFonts w:ascii="Calibri" w:eastAsia="Times New Roman" w:hAnsi="Calibri" w:cs="Calibri"/>
          <w:b/>
          <w:bCs/>
          <w:color w:val="4F81BD"/>
          <w:lang w:eastAsia="es-EC"/>
        </w:rPr>
      </w:pPr>
    </w:p>
    <w:p w:rsidR="006D5EB6" w:rsidRDefault="006D5EB6" w:rsidP="006D5EB6">
      <w:pPr>
        <w:spacing w:after="0" w:line="240" w:lineRule="auto"/>
        <w:jc w:val="center"/>
        <w:rPr>
          <w:rFonts w:ascii="Calibri" w:eastAsia="Times New Roman" w:hAnsi="Calibri" w:cs="Calibri"/>
          <w:b/>
          <w:bCs/>
          <w:color w:val="4F81BD"/>
          <w:lang w:eastAsia="es-EC"/>
        </w:rPr>
      </w:pPr>
    </w:p>
    <w:p w:rsidR="006D5EB6" w:rsidRDefault="006D5EB6" w:rsidP="006D5EB6">
      <w:pPr>
        <w:spacing w:after="0" w:line="240" w:lineRule="auto"/>
        <w:rPr>
          <w:rFonts w:ascii="Calibri" w:eastAsia="Times New Roman" w:hAnsi="Calibri" w:cs="Calibri"/>
          <w:b/>
          <w:bCs/>
          <w:color w:val="4F81BD"/>
          <w:lang w:eastAsia="es-EC"/>
        </w:rPr>
      </w:pPr>
    </w:p>
    <w:p w:rsidR="006D5EB6" w:rsidRDefault="006D5EB6" w:rsidP="006D5EB6">
      <w:pPr>
        <w:spacing w:after="0" w:line="240" w:lineRule="auto"/>
        <w:jc w:val="center"/>
        <w:rPr>
          <w:rFonts w:ascii="Calibri" w:eastAsia="Times New Roman" w:hAnsi="Calibri" w:cs="Calibri"/>
          <w:b/>
          <w:bCs/>
          <w:color w:val="4F81BD"/>
          <w:lang w:eastAsia="es-EC"/>
        </w:rPr>
        <w:sectPr w:rsidR="006D5EB6" w:rsidSect="006D5EB6">
          <w:pgSz w:w="15840" w:h="12240" w:orient="landscape"/>
          <w:pgMar w:top="1701" w:right="1418" w:bottom="1701" w:left="1418" w:header="709" w:footer="709" w:gutter="0"/>
          <w:cols w:space="708"/>
          <w:docGrid w:linePitch="360"/>
        </w:sectPr>
      </w:pPr>
    </w:p>
    <w:p w:rsidR="006D5EB6" w:rsidRPr="001A229D" w:rsidRDefault="006D5EB6" w:rsidP="006D5EB6">
      <w:pPr>
        <w:spacing w:after="0" w:line="240" w:lineRule="auto"/>
        <w:jc w:val="center"/>
        <w:rPr>
          <w:rFonts w:ascii="Calibri" w:eastAsia="Times New Roman" w:hAnsi="Calibri" w:cs="Calibri"/>
          <w:b/>
          <w:bCs/>
          <w:lang w:eastAsia="es-EC"/>
        </w:rPr>
      </w:pPr>
      <w:r w:rsidRPr="00EB14D3">
        <w:rPr>
          <w:rFonts w:ascii="Calibri" w:eastAsia="Times New Roman" w:hAnsi="Calibri" w:cs="Calibri"/>
          <w:b/>
          <w:bCs/>
          <w:lang w:eastAsia="es-EC"/>
        </w:rPr>
        <w:lastRenderedPageBreak/>
        <w:t>ESTRUCTURA OPERATIVA</w:t>
      </w:r>
      <w:r>
        <w:rPr>
          <w:rFonts w:ascii="Calibri" w:eastAsia="Times New Roman" w:hAnsi="Calibri" w:cs="Calibri"/>
          <w:b/>
          <w:bCs/>
          <w:lang w:eastAsia="es-EC"/>
        </w:rPr>
        <w:t xml:space="preserve"> - </w:t>
      </w:r>
      <w:r w:rsidRPr="00EB14D3">
        <w:rPr>
          <w:rFonts w:ascii="Calibri" w:eastAsia="Times New Roman" w:hAnsi="Calibri" w:cs="Calibri"/>
          <w:b/>
          <w:bCs/>
          <w:color w:val="4F81BD"/>
          <w:lang w:eastAsia="es-EC"/>
        </w:rPr>
        <w:t>Método Horizontal</w:t>
      </w:r>
    </w:p>
    <w:p w:rsidR="006D5EB6" w:rsidRDefault="006D5EB6" w:rsidP="006D5EB6">
      <w:pPr>
        <w:spacing w:after="0" w:line="240" w:lineRule="auto"/>
        <w:jc w:val="center"/>
        <w:rPr>
          <w:rFonts w:ascii="Calibri" w:eastAsia="Times New Roman" w:hAnsi="Calibri" w:cs="Calibri"/>
          <w:b/>
          <w:bCs/>
          <w:color w:val="4F81BD"/>
          <w:lang w:eastAsia="es-EC"/>
        </w:rPr>
      </w:pPr>
    </w:p>
    <w:tbl>
      <w:tblPr>
        <w:tblW w:w="3020" w:type="dxa"/>
        <w:jc w:val="center"/>
        <w:tblInd w:w="60" w:type="dxa"/>
        <w:tblCellMar>
          <w:left w:w="70" w:type="dxa"/>
          <w:right w:w="70" w:type="dxa"/>
        </w:tblCellMar>
        <w:tblLook w:val="04A0"/>
      </w:tblPr>
      <w:tblGrid>
        <w:gridCol w:w="1820"/>
        <w:gridCol w:w="1200"/>
      </w:tblGrid>
      <w:tr w:rsidR="006D5EB6" w:rsidRPr="00EB14D3" w:rsidTr="006D5EB6">
        <w:trPr>
          <w:trHeight w:val="315"/>
          <w:jc w:val="center"/>
        </w:trPr>
        <w:tc>
          <w:tcPr>
            <w:tcW w:w="1820" w:type="dxa"/>
            <w:tcBorders>
              <w:top w:val="single" w:sz="8" w:space="0" w:color="666699"/>
              <w:left w:val="single" w:sz="8" w:space="0" w:color="666699"/>
              <w:bottom w:val="single" w:sz="8" w:space="0" w:color="666699"/>
              <w:right w:val="single" w:sz="8" w:space="0" w:color="666699"/>
            </w:tcBorders>
            <w:shd w:val="clear" w:color="auto" w:fill="auto"/>
            <w:noWrap/>
            <w:vAlign w:val="bottom"/>
            <w:hideMark/>
          </w:tcPr>
          <w:p w:rsidR="006D5EB6" w:rsidRPr="00EB14D3" w:rsidRDefault="006D5EB6" w:rsidP="006D5EB6">
            <w:pPr>
              <w:spacing w:after="0" w:line="240" w:lineRule="auto"/>
              <w:jc w:val="center"/>
              <w:rPr>
                <w:rFonts w:ascii="Calibri" w:eastAsia="Times New Roman" w:hAnsi="Calibri" w:cs="Calibri"/>
                <w:b/>
                <w:bCs/>
                <w:color w:val="9966FF"/>
                <w:lang w:eastAsia="es-EC"/>
              </w:rPr>
            </w:pPr>
            <w:r w:rsidRPr="00EB14D3">
              <w:rPr>
                <w:rFonts w:ascii="Calibri" w:eastAsia="Times New Roman" w:hAnsi="Calibri" w:cs="Calibri"/>
                <w:b/>
                <w:bCs/>
                <w:color w:val="9966FF"/>
                <w:lang w:eastAsia="es-EC"/>
              </w:rPr>
              <w:t>RUBROS</w:t>
            </w:r>
          </w:p>
        </w:tc>
        <w:tc>
          <w:tcPr>
            <w:tcW w:w="1200" w:type="dxa"/>
            <w:tcBorders>
              <w:top w:val="single" w:sz="8" w:space="0" w:color="666699"/>
              <w:left w:val="nil"/>
              <w:bottom w:val="single" w:sz="8" w:space="0" w:color="666699"/>
              <w:right w:val="single" w:sz="8" w:space="0" w:color="666699"/>
            </w:tcBorders>
            <w:shd w:val="clear" w:color="auto" w:fill="auto"/>
            <w:noWrap/>
            <w:vAlign w:val="bottom"/>
            <w:hideMark/>
          </w:tcPr>
          <w:p w:rsidR="006D5EB6" w:rsidRPr="00EB14D3" w:rsidRDefault="006D5EB6" w:rsidP="006D5EB6">
            <w:pPr>
              <w:spacing w:after="0" w:line="240" w:lineRule="auto"/>
              <w:jc w:val="center"/>
              <w:rPr>
                <w:rFonts w:ascii="Calibri" w:eastAsia="Times New Roman" w:hAnsi="Calibri" w:cs="Calibri"/>
                <w:b/>
                <w:bCs/>
                <w:color w:val="9966FF"/>
                <w:lang w:eastAsia="es-EC"/>
              </w:rPr>
            </w:pPr>
            <w:r w:rsidRPr="00EB14D3">
              <w:rPr>
                <w:rFonts w:ascii="Calibri" w:eastAsia="Times New Roman" w:hAnsi="Calibri" w:cs="Calibri"/>
                <w:b/>
                <w:bCs/>
                <w:color w:val="9966FF"/>
                <w:lang w:eastAsia="es-EC"/>
              </w:rPr>
              <w:t>%</w:t>
            </w:r>
          </w:p>
        </w:tc>
      </w:tr>
      <w:tr w:rsidR="006D5EB6" w:rsidRPr="00EB14D3" w:rsidTr="006D5EB6">
        <w:trPr>
          <w:trHeight w:val="300"/>
          <w:jc w:val="center"/>
        </w:trPr>
        <w:tc>
          <w:tcPr>
            <w:tcW w:w="1820" w:type="dxa"/>
            <w:tcBorders>
              <w:top w:val="nil"/>
              <w:left w:val="single" w:sz="8" w:space="0" w:color="666699"/>
              <w:bottom w:val="single" w:sz="4" w:space="0" w:color="666699"/>
              <w:right w:val="single" w:sz="8" w:space="0" w:color="666699"/>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r w:rsidRPr="00EB14D3">
              <w:rPr>
                <w:rFonts w:ascii="Calibri" w:eastAsia="Times New Roman" w:hAnsi="Calibri" w:cs="Calibri"/>
                <w:color w:val="000000"/>
                <w:lang w:eastAsia="es-EC"/>
              </w:rPr>
              <w:t>Ventas</w:t>
            </w:r>
          </w:p>
        </w:tc>
        <w:tc>
          <w:tcPr>
            <w:tcW w:w="1200" w:type="dxa"/>
            <w:tcBorders>
              <w:top w:val="nil"/>
              <w:left w:val="nil"/>
              <w:bottom w:val="single" w:sz="4" w:space="0" w:color="666699"/>
              <w:right w:val="single" w:sz="8" w:space="0" w:color="666699"/>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-0,18</w:t>
            </w:r>
          </w:p>
        </w:tc>
      </w:tr>
      <w:tr w:rsidR="006D5EB6" w:rsidRPr="00EB14D3" w:rsidTr="006D5EB6">
        <w:trPr>
          <w:trHeight w:val="300"/>
          <w:jc w:val="center"/>
        </w:trPr>
        <w:tc>
          <w:tcPr>
            <w:tcW w:w="1820" w:type="dxa"/>
            <w:tcBorders>
              <w:top w:val="nil"/>
              <w:left w:val="single" w:sz="8" w:space="0" w:color="666699"/>
              <w:bottom w:val="single" w:sz="4" w:space="0" w:color="666699"/>
              <w:right w:val="single" w:sz="8" w:space="0" w:color="666699"/>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r w:rsidRPr="00EB14D3">
              <w:rPr>
                <w:rFonts w:ascii="Calibri" w:eastAsia="Times New Roman" w:hAnsi="Calibri" w:cs="Calibri"/>
                <w:color w:val="000000"/>
                <w:lang w:eastAsia="es-EC"/>
              </w:rPr>
              <w:t>Costo de Ventas</w:t>
            </w:r>
          </w:p>
        </w:tc>
        <w:tc>
          <w:tcPr>
            <w:tcW w:w="1200" w:type="dxa"/>
            <w:tcBorders>
              <w:top w:val="nil"/>
              <w:left w:val="nil"/>
              <w:bottom w:val="single" w:sz="4" w:space="0" w:color="666699"/>
              <w:right w:val="single" w:sz="8" w:space="0" w:color="666699"/>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23,35</w:t>
            </w:r>
          </w:p>
        </w:tc>
      </w:tr>
      <w:tr w:rsidR="006D5EB6" w:rsidRPr="00EB14D3" w:rsidTr="006D5EB6">
        <w:trPr>
          <w:trHeight w:val="300"/>
          <w:jc w:val="center"/>
        </w:trPr>
        <w:tc>
          <w:tcPr>
            <w:tcW w:w="1820" w:type="dxa"/>
            <w:tcBorders>
              <w:top w:val="nil"/>
              <w:left w:val="single" w:sz="8" w:space="0" w:color="666699"/>
              <w:bottom w:val="single" w:sz="4" w:space="0" w:color="666699"/>
              <w:right w:val="single" w:sz="8" w:space="0" w:color="666699"/>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r w:rsidRPr="00EB14D3">
              <w:rPr>
                <w:rFonts w:ascii="Calibri" w:eastAsia="Times New Roman" w:hAnsi="Calibri" w:cs="Calibri"/>
                <w:color w:val="000000"/>
                <w:lang w:eastAsia="es-EC"/>
              </w:rPr>
              <w:t>G. Administrativos</w:t>
            </w:r>
          </w:p>
        </w:tc>
        <w:tc>
          <w:tcPr>
            <w:tcW w:w="1200" w:type="dxa"/>
            <w:tcBorders>
              <w:top w:val="nil"/>
              <w:left w:val="nil"/>
              <w:bottom w:val="single" w:sz="4" w:space="0" w:color="666699"/>
              <w:right w:val="single" w:sz="8" w:space="0" w:color="666699"/>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-8,17</w:t>
            </w:r>
          </w:p>
        </w:tc>
      </w:tr>
      <w:tr w:rsidR="006D5EB6" w:rsidRPr="00EB14D3" w:rsidTr="006D5EB6">
        <w:trPr>
          <w:trHeight w:val="315"/>
          <w:jc w:val="center"/>
        </w:trPr>
        <w:tc>
          <w:tcPr>
            <w:tcW w:w="1820" w:type="dxa"/>
            <w:tcBorders>
              <w:top w:val="nil"/>
              <w:left w:val="single" w:sz="8" w:space="0" w:color="666699"/>
              <w:bottom w:val="single" w:sz="8" w:space="0" w:color="666699"/>
              <w:right w:val="single" w:sz="8" w:space="0" w:color="666699"/>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r w:rsidRPr="00EB14D3">
              <w:rPr>
                <w:rFonts w:ascii="Calibri" w:eastAsia="Times New Roman" w:hAnsi="Calibri" w:cs="Calibri"/>
                <w:color w:val="000000"/>
                <w:lang w:eastAsia="es-EC"/>
              </w:rPr>
              <w:t>G. Comerciales</w:t>
            </w:r>
          </w:p>
        </w:tc>
        <w:tc>
          <w:tcPr>
            <w:tcW w:w="1200" w:type="dxa"/>
            <w:tcBorders>
              <w:top w:val="nil"/>
              <w:left w:val="nil"/>
              <w:bottom w:val="single" w:sz="8" w:space="0" w:color="666699"/>
              <w:right w:val="single" w:sz="8" w:space="0" w:color="666699"/>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-6,44</w:t>
            </w:r>
          </w:p>
        </w:tc>
      </w:tr>
    </w:tbl>
    <w:p w:rsidR="006D5EB6" w:rsidRDefault="006D5EB6" w:rsidP="006D5EB6">
      <w:pPr>
        <w:spacing w:after="0" w:line="240" w:lineRule="auto"/>
        <w:jc w:val="center"/>
        <w:rPr>
          <w:rFonts w:ascii="Calibri" w:eastAsia="Times New Roman" w:hAnsi="Calibri" w:cs="Calibri"/>
          <w:b/>
          <w:bCs/>
          <w:color w:val="4F81BD"/>
          <w:lang w:eastAsia="es-EC"/>
        </w:rPr>
      </w:pPr>
    </w:p>
    <w:p w:rsidR="006D5EB6" w:rsidRDefault="006D5EB6" w:rsidP="006D5EB6">
      <w:pPr>
        <w:spacing w:after="0" w:line="240" w:lineRule="auto"/>
        <w:jc w:val="center"/>
        <w:rPr>
          <w:rFonts w:ascii="Calibri" w:eastAsia="Times New Roman" w:hAnsi="Calibri" w:cs="Calibri"/>
          <w:b/>
          <w:bCs/>
          <w:color w:val="4F81BD"/>
          <w:lang w:eastAsia="es-EC"/>
        </w:rPr>
      </w:pPr>
      <w:r w:rsidRPr="00EB14D3">
        <w:rPr>
          <w:rFonts w:ascii="Calibri" w:eastAsia="Times New Roman" w:hAnsi="Calibri" w:cs="Calibri"/>
          <w:b/>
          <w:bCs/>
          <w:noProof/>
          <w:color w:val="4F81BD"/>
          <w:lang w:eastAsia="es-EC"/>
        </w:rPr>
        <w:drawing>
          <wp:inline distT="0" distB="0" distL="0" distR="0">
            <wp:extent cx="4572000" cy="2257425"/>
            <wp:effectExtent l="19050" t="0" r="19050" b="0"/>
            <wp:docPr id="100" name="Gráfico 100"/>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6D5EB6" w:rsidRDefault="006D5EB6" w:rsidP="006D5EB6">
      <w:pPr>
        <w:spacing w:after="0" w:line="240" w:lineRule="auto"/>
        <w:jc w:val="center"/>
        <w:rPr>
          <w:rFonts w:ascii="Calibri" w:eastAsia="Times New Roman" w:hAnsi="Calibri" w:cs="Calibri"/>
          <w:b/>
          <w:bCs/>
          <w:color w:val="4F81BD"/>
          <w:lang w:eastAsia="es-EC"/>
        </w:rPr>
      </w:pPr>
    </w:p>
    <w:p w:rsidR="006D5EB6" w:rsidRDefault="006D5EB6" w:rsidP="006D5EB6">
      <w:pPr>
        <w:spacing w:after="0" w:line="240" w:lineRule="auto"/>
        <w:jc w:val="center"/>
        <w:rPr>
          <w:rFonts w:ascii="Calibri" w:eastAsia="Times New Roman" w:hAnsi="Calibri" w:cs="Calibri"/>
          <w:b/>
          <w:bCs/>
          <w:color w:val="4F81BD"/>
          <w:lang w:eastAsia="es-EC"/>
        </w:rPr>
      </w:pPr>
      <w:r w:rsidRPr="00EB14D3">
        <w:rPr>
          <w:rFonts w:ascii="Calibri" w:eastAsia="Times New Roman" w:hAnsi="Calibri" w:cs="Calibri"/>
          <w:b/>
          <w:bCs/>
          <w:lang w:eastAsia="es-EC"/>
        </w:rPr>
        <w:t>ESTRUCTURA FINANCIERA</w:t>
      </w:r>
      <w:r>
        <w:rPr>
          <w:rFonts w:ascii="Calibri" w:eastAsia="Times New Roman" w:hAnsi="Calibri" w:cs="Calibri"/>
          <w:b/>
          <w:bCs/>
          <w:lang w:eastAsia="es-EC"/>
        </w:rPr>
        <w:t xml:space="preserve"> - </w:t>
      </w:r>
      <w:r w:rsidRPr="00EB14D3">
        <w:rPr>
          <w:rFonts w:ascii="Calibri" w:eastAsia="Times New Roman" w:hAnsi="Calibri" w:cs="Calibri"/>
          <w:b/>
          <w:bCs/>
          <w:color w:val="4F81BD"/>
          <w:lang w:eastAsia="es-EC"/>
        </w:rPr>
        <w:t>Método Horizontal</w:t>
      </w:r>
    </w:p>
    <w:p w:rsidR="006D5EB6" w:rsidRPr="001A229D" w:rsidRDefault="006D5EB6" w:rsidP="006D5EB6">
      <w:pPr>
        <w:spacing w:after="0" w:line="240" w:lineRule="auto"/>
        <w:jc w:val="center"/>
        <w:rPr>
          <w:rFonts w:ascii="Calibri" w:eastAsia="Times New Roman" w:hAnsi="Calibri" w:cs="Calibri"/>
          <w:b/>
          <w:bCs/>
          <w:lang w:eastAsia="es-EC"/>
        </w:rPr>
      </w:pPr>
    </w:p>
    <w:tbl>
      <w:tblPr>
        <w:tblW w:w="3040" w:type="dxa"/>
        <w:jc w:val="center"/>
        <w:tblInd w:w="60" w:type="dxa"/>
        <w:tblCellMar>
          <w:left w:w="70" w:type="dxa"/>
          <w:right w:w="70" w:type="dxa"/>
        </w:tblCellMar>
        <w:tblLook w:val="04A0"/>
      </w:tblPr>
      <w:tblGrid>
        <w:gridCol w:w="1840"/>
        <w:gridCol w:w="1200"/>
      </w:tblGrid>
      <w:tr w:rsidR="006D5EB6" w:rsidRPr="00EB14D3" w:rsidTr="006D5EB6">
        <w:trPr>
          <w:trHeight w:val="315"/>
          <w:jc w:val="center"/>
        </w:trPr>
        <w:tc>
          <w:tcPr>
            <w:tcW w:w="1840" w:type="dxa"/>
            <w:tcBorders>
              <w:top w:val="single" w:sz="8" w:space="0" w:color="666699"/>
              <w:left w:val="single" w:sz="8" w:space="0" w:color="666699"/>
              <w:bottom w:val="single" w:sz="8" w:space="0" w:color="666699"/>
              <w:right w:val="single" w:sz="8" w:space="0" w:color="666699"/>
            </w:tcBorders>
            <w:shd w:val="clear" w:color="auto" w:fill="auto"/>
            <w:noWrap/>
            <w:vAlign w:val="bottom"/>
            <w:hideMark/>
          </w:tcPr>
          <w:p w:rsidR="006D5EB6" w:rsidRPr="00EB14D3" w:rsidRDefault="006D5EB6" w:rsidP="006D5EB6">
            <w:pPr>
              <w:spacing w:after="0" w:line="240" w:lineRule="auto"/>
              <w:jc w:val="center"/>
              <w:rPr>
                <w:rFonts w:ascii="Calibri" w:eastAsia="Times New Roman" w:hAnsi="Calibri" w:cs="Calibri"/>
                <w:b/>
                <w:bCs/>
                <w:color w:val="9966FF"/>
                <w:lang w:eastAsia="es-EC"/>
              </w:rPr>
            </w:pPr>
            <w:r w:rsidRPr="00EB14D3">
              <w:rPr>
                <w:rFonts w:ascii="Calibri" w:eastAsia="Times New Roman" w:hAnsi="Calibri" w:cs="Calibri"/>
                <w:b/>
                <w:bCs/>
                <w:color w:val="9966FF"/>
                <w:lang w:eastAsia="es-EC"/>
              </w:rPr>
              <w:t>RUBROS</w:t>
            </w:r>
          </w:p>
        </w:tc>
        <w:tc>
          <w:tcPr>
            <w:tcW w:w="1200" w:type="dxa"/>
            <w:tcBorders>
              <w:top w:val="single" w:sz="8" w:space="0" w:color="666699"/>
              <w:left w:val="nil"/>
              <w:bottom w:val="single" w:sz="8" w:space="0" w:color="666699"/>
              <w:right w:val="single" w:sz="8" w:space="0" w:color="666699"/>
            </w:tcBorders>
            <w:shd w:val="clear" w:color="auto" w:fill="auto"/>
            <w:noWrap/>
            <w:vAlign w:val="bottom"/>
            <w:hideMark/>
          </w:tcPr>
          <w:p w:rsidR="006D5EB6" w:rsidRPr="00EB14D3" w:rsidRDefault="006D5EB6" w:rsidP="006D5EB6">
            <w:pPr>
              <w:spacing w:after="0" w:line="240" w:lineRule="auto"/>
              <w:jc w:val="center"/>
              <w:rPr>
                <w:rFonts w:ascii="Calibri" w:eastAsia="Times New Roman" w:hAnsi="Calibri" w:cs="Calibri"/>
                <w:b/>
                <w:bCs/>
                <w:color w:val="9966FF"/>
                <w:lang w:eastAsia="es-EC"/>
              </w:rPr>
            </w:pPr>
            <w:r w:rsidRPr="00EB14D3">
              <w:rPr>
                <w:rFonts w:ascii="Calibri" w:eastAsia="Times New Roman" w:hAnsi="Calibri" w:cs="Calibri"/>
                <w:b/>
                <w:bCs/>
                <w:color w:val="9966FF"/>
                <w:lang w:eastAsia="es-EC"/>
              </w:rPr>
              <w:t>%</w:t>
            </w:r>
          </w:p>
        </w:tc>
      </w:tr>
      <w:tr w:rsidR="006D5EB6" w:rsidRPr="00EB14D3" w:rsidTr="006D5EB6">
        <w:trPr>
          <w:trHeight w:val="300"/>
          <w:jc w:val="center"/>
        </w:trPr>
        <w:tc>
          <w:tcPr>
            <w:tcW w:w="1840" w:type="dxa"/>
            <w:tcBorders>
              <w:top w:val="nil"/>
              <w:left w:val="single" w:sz="8" w:space="0" w:color="666699"/>
              <w:bottom w:val="single" w:sz="4" w:space="0" w:color="666699"/>
              <w:right w:val="single" w:sz="8" w:space="0" w:color="666699"/>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r w:rsidRPr="00EB14D3">
              <w:rPr>
                <w:rFonts w:ascii="Calibri" w:eastAsia="Times New Roman" w:hAnsi="Calibri" w:cs="Calibri"/>
                <w:color w:val="000000"/>
                <w:lang w:eastAsia="es-EC"/>
              </w:rPr>
              <w:t>Ing. no Operativos</w:t>
            </w:r>
          </w:p>
        </w:tc>
        <w:tc>
          <w:tcPr>
            <w:tcW w:w="1200" w:type="dxa"/>
            <w:tcBorders>
              <w:top w:val="nil"/>
              <w:left w:val="nil"/>
              <w:bottom w:val="single" w:sz="4" w:space="0" w:color="666699"/>
              <w:right w:val="single" w:sz="8" w:space="0" w:color="666699"/>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44,02</w:t>
            </w:r>
          </w:p>
        </w:tc>
      </w:tr>
      <w:tr w:rsidR="006D5EB6" w:rsidRPr="00EB14D3" w:rsidTr="006D5EB6">
        <w:trPr>
          <w:trHeight w:val="300"/>
          <w:jc w:val="center"/>
        </w:trPr>
        <w:tc>
          <w:tcPr>
            <w:tcW w:w="1840" w:type="dxa"/>
            <w:tcBorders>
              <w:top w:val="nil"/>
              <w:left w:val="single" w:sz="8" w:space="0" w:color="666699"/>
              <w:bottom w:val="single" w:sz="4" w:space="0" w:color="666699"/>
              <w:right w:val="single" w:sz="8" w:space="0" w:color="666699"/>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r w:rsidRPr="00EB14D3">
              <w:rPr>
                <w:rFonts w:ascii="Calibri" w:eastAsia="Times New Roman" w:hAnsi="Calibri" w:cs="Calibri"/>
                <w:color w:val="000000"/>
                <w:lang w:eastAsia="es-EC"/>
              </w:rPr>
              <w:t>Eg. no Operativos</w:t>
            </w:r>
          </w:p>
        </w:tc>
        <w:tc>
          <w:tcPr>
            <w:tcW w:w="1200" w:type="dxa"/>
            <w:tcBorders>
              <w:top w:val="nil"/>
              <w:left w:val="nil"/>
              <w:bottom w:val="single" w:sz="4" w:space="0" w:color="666699"/>
              <w:right w:val="single" w:sz="8" w:space="0" w:color="666699"/>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15,00</w:t>
            </w:r>
          </w:p>
        </w:tc>
      </w:tr>
      <w:tr w:rsidR="006D5EB6" w:rsidRPr="00EB14D3" w:rsidTr="006D5EB6">
        <w:trPr>
          <w:trHeight w:val="300"/>
          <w:jc w:val="center"/>
        </w:trPr>
        <w:tc>
          <w:tcPr>
            <w:tcW w:w="1840" w:type="dxa"/>
            <w:tcBorders>
              <w:top w:val="nil"/>
              <w:left w:val="single" w:sz="8" w:space="0" w:color="666699"/>
              <w:bottom w:val="single" w:sz="4" w:space="0" w:color="666699"/>
              <w:right w:val="single" w:sz="8" w:space="0" w:color="666699"/>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r w:rsidRPr="00EB14D3">
              <w:rPr>
                <w:rFonts w:ascii="Calibri" w:eastAsia="Times New Roman" w:hAnsi="Calibri" w:cs="Calibri"/>
                <w:color w:val="000000"/>
                <w:lang w:eastAsia="es-EC"/>
              </w:rPr>
              <w:t>15% P.T</w:t>
            </w:r>
          </w:p>
        </w:tc>
        <w:tc>
          <w:tcPr>
            <w:tcW w:w="1200" w:type="dxa"/>
            <w:tcBorders>
              <w:top w:val="nil"/>
              <w:left w:val="nil"/>
              <w:bottom w:val="single" w:sz="4" w:space="0" w:color="666699"/>
              <w:right w:val="single" w:sz="8" w:space="0" w:color="666699"/>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-145,78</w:t>
            </w:r>
          </w:p>
        </w:tc>
      </w:tr>
      <w:tr w:rsidR="006D5EB6" w:rsidRPr="00EB14D3" w:rsidTr="006D5EB6">
        <w:trPr>
          <w:trHeight w:val="300"/>
          <w:jc w:val="center"/>
        </w:trPr>
        <w:tc>
          <w:tcPr>
            <w:tcW w:w="1840" w:type="dxa"/>
            <w:tcBorders>
              <w:top w:val="nil"/>
              <w:left w:val="single" w:sz="8" w:space="0" w:color="666699"/>
              <w:bottom w:val="single" w:sz="4" w:space="0" w:color="666699"/>
              <w:right w:val="single" w:sz="8" w:space="0" w:color="666699"/>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r w:rsidRPr="00EB14D3">
              <w:rPr>
                <w:rFonts w:ascii="Calibri" w:eastAsia="Times New Roman" w:hAnsi="Calibri" w:cs="Calibri"/>
                <w:color w:val="000000"/>
                <w:lang w:eastAsia="es-EC"/>
              </w:rPr>
              <w:t>24% I.R</w:t>
            </w:r>
          </w:p>
        </w:tc>
        <w:tc>
          <w:tcPr>
            <w:tcW w:w="1200" w:type="dxa"/>
            <w:tcBorders>
              <w:top w:val="nil"/>
              <w:left w:val="nil"/>
              <w:bottom w:val="single" w:sz="4" w:space="0" w:color="666699"/>
              <w:right w:val="single" w:sz="8" w:space="0" w:color="666699"/>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-109,69</w:t>
            </w:r>
          </w:p>
        </w:tc>
      </w:tr>
      <w:tr w:rsidR="006D5EB6" w:rsidRPr="00EB14D3" w:rsidTr="006D5EB6">
        <w:trPr>
          <w:trHeight w:val="315"/>
          <w:jc w:val="center"/>
        </w:trPr>
        <w:tc>
          <w:tcPr>
            <w:tcW w:w="1840" w:type="dxa"/>
            <w:tcBorders>
              <w:top w:val="nil"/>
              <w:left w:val="single" w:sz="8" w:space="0" w:color="666699"/>
              <w:bottom w:val="single" w:sz="8" w:space="0" w:color="666699"/>
              <w:right w:val="single" w:sz="8" w:space="0" w:color="666699"/>
            </w:tcBorders>
            <w:shd w:val="clear" w:color="auto" w:fill="auto"/>
            <w:noWrap/>
            <w:vAlign w:val="bottom"/>
            <w:hideMark/>
          </w:tcPr>
          <w:p w:rsidR="006D5EB6" w:rsidRPr="00EB14D3" w:rsidRDefault="006D5EB6" w:rsidP="006D5EB6">
            <w:pPr>
              <w:spacing w:after="0" w:line="240" w:lineRule="auto"/>
              <w:rPr>
                <w:rFonts w:ascii="Calibri" w:eastAsia="Times New Roman" w:hAnsi="Calibri" w:cs="Calibri"/>
                <w:color w:val="000000"/>
                <w:lang w:eastAsia="es-EC"/>
              </w:rPr>
            </w:pPr>
            <w:r w:rsidRPr="00EB14D3">
              <w:rPr>
                <w:rFonts w:ascii="Calibri" w:eastAsia="Times New Roman" w:hAnsi="Calibri" w:cs="Calibri"/>
                <w:color w:val="000000"/>
                <w:lang w:eastAsia="es-EC"/>
              </w:rPr>
              <w:t>Utilidad Neta</w:t>
            </w:r>
          </w:p>
        </w:tc>
        <w:tc>
          <w:tcPr>
            <w:tcW w:w="1200" w:type="dxa"/>
            <w:tcBorders>
              <w:top w:val="nil"/>
              <w:left w:val="nil"/>
              <w:bottom w:val="single" w:sz="8" w:space="0" w:color="666699"/>
              <w:right w:val="single" w:sz="8" w:space="0" w:color="666699"/>
            </w:tcBorders>
            <w:shd w:val="clear" w:color="auto" w:fill="auto"/>
            <w:noWrap/>
            <w:vAlign w:val="bottom"/>
            <w:hideMark/>
          </w:tcPr>
          <w:p w:rsidR="006D5EB6" w:rsidRPr="00EB14D3" w:rsidRDefault="006D5EB6" w:rsidP="006D5EB6">
            <w:pPr>
              <w:spacing w:after="0" w:line="240" w:lineRule="auto"/>
              <w:jc w:val="right"/>
              <w:rPr>
                <w:rFonts w:ascii="Calibri" w:eastAsia="Times New Roman" w:hAnsi="Calibri" w:cs="Calibri"/>
                <w:color w:val="000000"/>
                <w:lang w:eastAsia="es-EC"/>
              </w:rPr>
            </w:pPr>
            <w:r w:rsidRPr="00EB14D3">
              <w:rPr>
                <w:rFonts w:ascii="Calibri" w:eastAsia="Times New Roman" w:hAnsi="Calibri" w:cs="Calibri"/>
                <w:color w:val="000000"/>
                <w:lang w:eastAsia="es-EC"/>
              </w:rPr>
              <w:t>159,41</w:t>
            </w:r>
          </w:p>
        </w:tc>
      </w:tr>
    </w:tbl>
    <w:p w:rsidR="006D5EB6" w:rsidRDefault="006D5EB6" w:rsidP="006D5EB6">
      <w:pPr>
        <w:spacing w:after="0" w:line="240" w:lineRule="auto"/>
        <w:jc w:val="center"/>
        <w:rPr>
          <w:rFonts w:ascii="Calibri" w:eastAsia="Times New Roman" w:hAnsi="Calibri" w:cs="Calibri"/>
          <w:b/>
          <w:bCs/>
          <w:color w:val="4F81BD"/>
          <w:lang w:eastAsia="es-EC"/>
        </w:rPr>
      </w:pPr>
    </w:p>
    <w:p w:rsidR="006D5EB6" w:rsidRDefault="006D5EB6" w:rsidP="006D5EB6">
      <w:pPr>
        <w:spacing w:after="0" w:line="240" w:lineRule="auto"/>
        <w:jc w:val="center"/>
        <w:rPr>
          <w:rFonts w:ascii="Calibri" w:eastAsia="Times New Roman" w:hAnsi="Calibri" w:cs="Calibri"/>
          <w:b/>
          <w:bCs/>
          <w:color w:val="4F81BD"/>
          <w:lang w:eastAsia="es-EC"/>
        </w:rPr>
        <w:sectPr w:rsidR="006D5EB6" w:rsidSect="006D5EB6">
          <w:pgSz w:w="12240" w:h="15840"/>
          <w:pgMar w:top="1418" w:right="1701" w:bottom="1418" w:left="1701" w:header="709" w:footer="709" w:gutter="0"/>
          <w:cols w:space="708"/>
          <w:docGrid w:linePitch="360"/>
        </w:sectPr>
      </w:pPr>
      <w:r w:rsidRPr="00EB14D3">
        <w:rPr>
          <w:rFonts w:ascii="Calibri" w:eastAsia="Times New Roman" w:hAnsi="Calibri" w:cs="Calibri"/>
          <w:b/>
          <w:bCs/>
          <w:noProof/>
          <w:color w:val="4F81BD"/>
          <w:lang w:eastAsia="es-EC"/>
        </w:rPr>
        <w:drawing>
          <wp:inline distT="0" distB="0" distL="0" distR="0">
            <wp:extent cx="4572000" cy="2200275"/>
            <wp:effectExtent l="19050" t="0" r="19050" b="0"/>
            <wp:docPr id="101" name="Gráfico 10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6D5EB6" w:rsidRPr="00AB191B" w:rsidRDefault="006D5EB6" w:rsidP="006D5EB6">
      <w:pPr>
        <w:tabs>
          <w:tab w:val="left" w:pos="7371"/>
        </w:tabs>
        <w:jc w:val="center"/>
        <w:rPr>
          <w:rFonts w:ascii="Times New Roman" w:hAnsi="Times New Roman" w:cs="Times New Roman"/>
          <w:sz w:val="52"/>
          <w:szCs w:val="52"/>
        </w:rPr>
      </w:pPr>
      <w:r w:rsidRPr="00AB191B">
        <w:rPr>
          <w:rFonts w:ascii="Times New Roman" w:hAnsi="Times New Roman" w:cs="Times New Roman"/>
          <w:sz w:val="52"/>
          <w:szCs w:val="52"/>
        </w:rPr>
        <w:lastRenderedPageBreak/>
        <w:t>Universidad Regional Autónoma de los Andes</w:t>
      </w:r>
    </w:p>
    <w:p w:rsidR="006D5EB6" w:rsidRPr="00AB191B" w:rsidRDefault="006D5EB6" w:rsidP="006D5EB6">
      <w:pPr>
        <w:jc w:val="center"/>
        <w:rPr>
          <w:rFonts w:ascii="Times New Roman" w:hAnsi="Times New Roman" w:cs="Times New Roman"/>
          <w:sz w:val="52"/>
          <w:szCs w:val="52"/>
        </w:rPr>
      </w:pPr>
      <w:r w:rsidRPr="00AB191B">
        <w:rPr>
          <w:rFonts w:ascii="Times New Roman" w:hAnsi="Times New Roman" w:cs="Times New Roman"/>
          <w:noProof/>
          <w:sz w:val="52"/>
          <w:szCs w:val="52"/>
          <w:lang w:eastAsia="es-EC"/>
        </w:rPr>
        <w:drawing>
          <wp:anchor distT="0" distB="0" distL="114300" distR="114300" simplePos="0" relativeHeight="251664384" behindDoc="0" locked="0" layoutInCell="1" allowOverlap="1">
            <wp:simplePos x="0" y="0"/>
            <wp:positionH relativeFrom="column">
              <wp:posOffset>2053590</wp:posOffset>
            </wp:positionH>
            <wp:positionV relativeFrom="paragraph">
              <wp:posOffset>519431</wp:posOffset>
            </wp:positionV>
            <wp:extent cx="1457325" cy="971550"/>
            <wp:effectExtent l="19050" t="0" r="9525" b="0"/>
            <wp:wrapNone/>
            <wp:docPr id="3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1457325" cy="971550"/>
                    </a:xfrm>
                    <a:prstGeom prst="rect">
                      <a:avLst/>
                    </a:prstGeom>
                    <a:noFill/>
                    <a:ln w="9525">
                      <a:noFill/>
                      <a:miter lim="800000"/>
                      <a:headEnd/>
                      <a:tailEnd/>
                    </a:ln>
                  </pic:spPr>
                </pic:pic>
              </a:graphicData>
            </a:graphic>
          </wp:anchor>
        </w:drawing>
      </w:r>
      <w:r w:rsidRPr="00AB191B">
        <w:rPr>
          <w:rFonts w:ascii="Times New Roman" w:hAnsi="Times New Roman" w:cs="Times New Roman"/>
          <w:sz w:val="52"/>
          <w:szCs w:val="52"/>
        </w:rPr>
        <w:t>“UNIANDES”</w:t>
      </w:r>
    </w:p>
    <w:p w:rsidR="006D5EB6" w:rsidRPr="00AB191B" w:rsidRDefault="006D5EB6" w:rsidP="006D5EB6">
      <w:pPr>
        <w:jc w:val="center"/>
        <w:rPr>
          <w:rFonts w:ascii="Times New Roman" w:hAnsi="Times New Roman" w:cs="Times New Roman"/>
          <w:sz w:val="52"/>
          <w:szCs w:val="52"/>
        </w:rPr>
      </w:pPr>
    </w:p>
    <w:p w:rsidR="006D5EB6" w:rsidRPr="00AB191B" w:rsidRDefault="006D5EB6" w:rsidP="006D5EB6">
      <w:pPr>
        <w:rPr>
          <w:rFonts w:ascii="Times New Roman" w:hAnsi="Times New Roman" w:cs="Times New Roman"/>
          <w:sz w:val="52"/>
          <w:szCs w:val="52"/>
        </w:rPr>
      </w:pPr>
    </w:p>
    <w:p w:rsidR="006D5EB6" w:rsidRPr="00AB191B" w:rsidRDefault="006D5EB6" w:rsidP="006D5EB6">
      <w:pPr>
        <w:jc w:val="center"/>
        <w:rPr>
          <w:rFonts w:ascii="Times New Roman" w:hAnsi="Times New Roman" w:cs="Times New Roman"/>
          <w:sz w:val="52"/>
          <w:szCs w:val="52"/>
        </w:rPr>
      </w:pPr>
      <w:r w:rsidRPr="00AB191B">
        <w:rPr>
          <w:rFonts w:ascii="Times New Roman" w:hAnsi="Times New Roman" w:cs="Times New Roman"/>
          <w:sz w:val="52"/>
          <w:szCs w:val="52"/>
        </w:rPr>
        <w:t>Facultad Sistemas Mercantiles</w:t>
      </w:r>
    </w:p>
    <w:p w:rsidR="006D5EB6" w:rsidRPr="00AB191B" w:rsidRDefault="006D5EB6" w:rsidP="006D5EB6">
      <w:pPr>
        <w:jc w:val="center"/>
        <w:rPr>
          <w:rFonts w:ascii="Times New Roman" w:hAnsi="Times New Roman" w:cs="Times New Roman"/>
          <w:sz w:val="52"/>
          <w:szCs w:val="52"/>
        </w:rPr>
      </w:pPr>
      <w:r w:rsidRPr="00AB191B">
        <w:rPr>
          <w:rFonts w:ascii="Times New Roman" w:hAnsi="Times New Roman" w:cs="Times New Roman"/>
          <w:sz w:val="52"/>
          <w:szCs w:val="52"/>
        </w:rPr>
        <w:t>Contabilidad y Auditoría</w:t>
      </w:r>
    </w:p>
    <w:p w:rsidR="006D5EB6" w:rsidRPr="00AB191B" w:rsidRDefault="006D5EB6" w:rsidP="006D5EB6">
      <w:pPr>
        <w:jc w:val="center"/>
        <w:rPr>
          <w:rFonts w:ascii="Times New Roman" w:hAnsi="Times New Roman" w:cs="Times New Roman"/>
          <w:b/>
          <w:sz w:val="40"/>
          <w:szCs w:val="40"/>
        </w:rPr>
      </w:pPr>
      <w:r w:rsidRPr="00AB191B">
        <w:rPr>
          <w:rFonts w:ascii="Times New Roman" w:hAnsi="Times New Roman" w:cs="Times New Roman"/>
          <w:b/>
          <w:sz w:val="40"/>
          <w:szCs w:val="40"/>
        </w:rPr>
        <w:t xml:space="preserve">TRABAJO DE </w:t>
      </w:r>
      <w:r>
        <w:rPr>
          <w:rFonts w:ascii="Times New Roman" w:hAnsi="Times New Roman" w:cs="Times New Roman"/>
          <w:b/>
          <w:sz w:val="40"/>
          <w:szCs w:val="40"/>
        </w:rPr>
        <w:t>FINANZAS</w:t>
      </w:r>
    </w:p>
    <w:p w:rsidR="006D5EB6" w:rsidRPr="00AB191B" w:rsidRDefault="006D5EB6" w:rsidP="006D5EB6">
      <w:pPr>
        <w:spacing w:line="360" w:lineRule="auto"/>
        <w:jc w:val="center"/>
        <w:rPr>
          <w:rFonts w:ascii="Times New Roman" w:hAnsi="Times New Roman" w:cs="Times New Roman"/>
          <w:sz w:val="52"/>
          <w:szCs w:val="52"/>
        </w:rPr>
      </w:pPr>
      <w:r w:rsidRPr="00AB191B">
        <w:rPr>
          <w:rFonts w:ascii="Times New Roman" w:hAnsi="Times New Roman" w:cs="Times New Roman"/>
          <w:b/>
          <w:sz w:val="48"/>
          <w:szCs w:val="48"/>
        </w:rPr>
        <w:t>TEMA</w:t>
      </w:r>
      <w:r w:rsidRPr="00AB191B">
        <w:rPr>
          <w:rFonts w:ascii="Times New Roman" w:hAnsi="Times New Roman" w:cs="Times New Roman"/>
          <w:sz w:val="52"/>
          <w:szCs w:val="52"/>
        </w:rPr>
        <w:t xml:space="preserve">: </w:t>
      </w:r>
      <w:r>
        <w:rPr>
          <w:rFonts w:ascii="Times New Roman" w:hAnsi="Times New Roman" w:cs="Times New Roman"/>
          <w:sz w:val="52"/>
          <w:szCs w:val="52"/>
        </w:rPr>
        <w:t>Análisis del Estado de Resultados.</w:t>
      </w:r>
    </w:p>
    <w:p w:rsidR="006D5EB6" w:rsidRPr="00AB191B" w:rsidRDefault="006D5EB6" w:rsidP="006D5EB6">
      <w:pPr>
        <w:spacing w:line="360" w:lineRule="auto"/>
        <w:jc w:val="center"/>
        <w:rPr>
          <w:rFonts w:ascii="Times New Roman" w:hAnsi="Times New Roman" w:cs="Times New Roman"/>
          <w:sz w:val="52"/>
          <w:szCs w:val="52"/>
        </w:rPr>
      </w:pPr>
      <w:r w:rsidRPr="00AB191B">
        <w:rPr>
          <w:rFonts w:ascii="Times New Roman" w:hAnsi="Times New Roman" w:cs="Times New Roman"/>
          <w:b/>
          <w:sz w:val="52"/>
          <w:szCs w:val="52"/>
        </w:rPr>
        <w:t>Ing.</w:t>
      </w:r>
      <w:r>
        <w:rPr>
          <w:rFonts w:ascii="Times New Roman" w:hAnsi="Times New Roman" w:cs="Times New Roman"/>
          <w:b/>
          <w:sz w:val="52"/>
          <w:szCs w:val="52"/>
        </w:rPr>
        <w:t xml:space="preserve"> </w:t>
      </w:r>
      <w:r>
        <w:rPr>
          <w:rFonts w:ascii="Times New Roman" w:hAnsi="Times New Roman" w:cs="Times New Roman"/>
          <w:sz w:val="52"/>
          <w:szCs w:val="52"/>
        </w:rPr>
        <w:t>Danny Sandoval</w:t>
      </w:r>
    </w:p>
    <w:p w:rsidR="006D5EB6" w:rsidRPr="00AB191B" w:rsidRDefault="006D5EB6" w:rsidP="006D5EB6">
      <w:pPr>
        <w:spacing w:line="360" w:lineRule="auto"/>
        <w:jc w:val="center"/>
        <w:rPr>
          <w:rFonts w:ascii="Times New Roman" w:hAnsi="Times New Roman" w:cs="Times New Roman"/>
          <w:sz w:val="52"/>
          <w:szCs w:val="52"/>
        </w:rPr>
      </w:pPr>
      <w:r w:rsidRPr="00AB191B">
        <w:rPr>
          <w:rFonts w:ascii="Times New Roman" w:hAnsi="Times New Roman" w:cs="Times New Roman"/>
          <w:sz w:val="52"/>
          <w:szCs w:val="52"/>
        </w:rPr>
        <w:t>Diana Pozo</w:t>
      </w:r>
    </w:p>
    <w:p w:rsidR="006D5EB6" w:rsidRDefault="006D5EB6" w:rsidP="006D5EB6">
      <w:pPr>
        <w:spacing w:line="360" w:lineRule="auto"/>
        <w:jc w:val="center"/>
        <w:rPr>
          <w:rFonts w:ascii="Times New Roman" w:hAnsi="Times New Roman" w:cs="Times New Roman"/>
          <w:sz w:val="52"/>
          <w:szCs w:val="52"/>
        </w:rPr>
      </w:pPr>
      <w:r w:rsidRPr="00AB191B">
        <w:rPr>
          <w:rFonts w:ascii="Times New Roman" w:hAnsi="Times New Roman" w:cs="Times New Roman"/>
          <w:sz w:val="52"/>
          <w:szCs w:val="52"/>
        </w:rPr>
        <w:t>Quinto Nivel</w:t>
      </w:r>
    </w:p>
    <w:p w:rsidR="006D5EB6" w:rsidRDefault="006D5EB6" w:rsidP="006D5EB6">
      <w:pPr>
        <w:spacing w:line="360" w:lineRule="auto"/>
        <w:jc w:val="right"/>
        <w:rPr>
          <w:rFonts w:ascii="Times New Roman" w:hAnsi="Times New Roman" w:cs="Times New Roman"/>
          <w:sz w:val="52"/>
          <w:szCs w:val="52"/>
        </w:rPr>
      </w:pPr>
      <w:r>
        <w:rPr>
          <w:rFonts w:ascii="Times New Roman" w:hAnsi="Times New Roman" w:cs="Times New Roman"/>
          <w:sz w:val="52"/>
          <w:szCs w:val="52"/>
        </w:rPr>
        <w:t>14 de Noviembre de 2012</w:t>
      </w:r>
    </w:p>
    <w:p w:rsidR="006D5EB6" w:rsidRDefault="006D5EB6" w:rsidP="006D5EB6">
      <w:pPr>
        <w:sectPr w:rsidR="006D5EB6" w:rsidSect="006D5EB6">
          <w:pgSz w:w="12240" w:h="15840"/>
          <w:pgMar w:top="1418" w:right="1701" w:bottom="1418" w:left="1701" w:header="709" w:footer="709" w:gutter="0"/>
          <w:cols w:space="708"/>
          <w:docGrid w:linePitch="360"/>
        </w:sectPr>
      </w:pPr>
    </w:p>
    <w:p w:rsidR="006D5EB6" w:rsidRDefault="006D5EB6" w:rsidP="006D5EB6">
      <w:r w:rsidRPr="00826531">
        <w:rPr>
          <w:noProof/>
          <w:lang w:eastAsia="es-EC"/>
        </w:rPr>
        <w:lastRenderedPageBreak/>
        <w:drawing>
          <wp:inline distT="0" distB="0" distL="0" distR="0">
            <wp:extent cx="8353425" cy="5410200"/>
            <wp:effectExtent l="19050" t="0" r="9525" b="0"/>
            <wp:docPr id="9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8360317" cy="5414664"/>
                    </a:xfrm>
                    <a:prstGeom prst="rect">
                      <a:avLst/>
                    </a:prstGeom>
                    <a:noFill/>
                    <a:ln w="9525">
                      <a:noFill/>
                      <a:miter lim="800000"/>
                      <a:headEnd/>
                      <a:tailEnd/>
                    </a:ln>
                  </pic:spPr>
                </pic:pic>
              </a:graphicData>
            </a:graphic>
          </wp:inline>
        </w:drawing>
      </w:r>
    </w:p>
    <w:p w:rsidR="006D5EB6" w:rsidRDefault="006D5EB6" w:rsidP="006D5EB6">
      <w:pPr>
        <w:sectPr w:rsidR="006D5EB6" w:rsidSect="006D5EB6">
          <w:pgSz w:w="15840" w:h="12240" w:orient="landscape"/>
          <w:pgMar w:top="1701" w:right="1417" w:bottom="1701" w:left="1417" w:header="708" w:footer="708" w:gutter="0"/>
          <w:cols w:space="708"/>
          <w:docGrid w:linePitch="360"/>
        </w:sectPr>
      </w:pPr>
    </w:p>
    <w:p w:rsidR="006D5EB6" w:rsidRPr="00FE11A2" w:rsidRDefault="006D5EB6" w:rsidP="006D5EB6">
      <w:pPr>
        <w:spacing w:line="360" w:lineRule="auto"/>
        <w:jc w:val="both"/>
        <w:rPr>
          <w:rFonts w:ascii="Times New Roman" w:hAnsi="Times New Roman" w:cs="Times New Roman"/>
          <w:b/>
          <w:sz w:val="24"/>
          <w:szCs w:val="24"/>
        </w:rPr>
      </w:pPr>
      <w:r w:rsidRPr="00FE11A2">
        <w:rPr>
          <w:rFonts w:ascii="Times New Roman" w:hAnsi="Times New Roman" w:cs="Times New Roman"/>
          <w:b/>
          <w:sz w:val="24"/>
          <w:szCs w:val="24"/>
        </w:rPr>
        <w:lastRenderedPageBreak/>
        <w:t xml:space="preserve">ANÁLISIS </w:t>
      </w:r>
    </w:p>
    <w:p w:rsidR="006D5EB6" w:rsidRPr="00FE11A2" w:rsidRDefault="006D5EB6" w:rsidP="00FA4FAF">
      <w:pPr>
        <w:pStyle w:val="Prrafodelista"/>
        <w:numPr>
          <w:ilvl w:val="0"/>
          <w:numId w:val="26"/>
        </w:numPr>
        <w:spacing w:line="360" w:lineRule="auto"/>
        <w:jc w:val="both"/>
        <w:rPr>
          <w:rFonts w:ascii="Times New Roman" w:hAnsi="Times New Roman" w:cs="Times New Roman"/>
          <w:b/>
          <w:sz w:val="24"/>
          <w:szCs w:val="24"/>
        </w:rPr>
      </w:pPr>
      <w:r w:rsidRPr="00FE11A2">
        <w:rPr>
          <w:rFonts w:ascii="Times New Roman" w:hAnsi="Times New Roman" w:cs="Times New Roman"/>
          <w:b/>
          <w:sz w:val="24"/>
          <w:szCs w:val="24"/>
        </w:rPr>
        <w:t>Qué pasaría con la eficacia en la gestión operativa si sus ventas se incrementan el 12% y los costos el 14% y los gastos administrativos disminuyen el 8%.</w:t>
      </w:r>
    </w:p>
    <w:p w:rsidR="006D5EB6" w:rsidRDefault="006D5EB6" w:rsidP="006D5EB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Existe deficiencia en el gasto operativo dado que las ventas se incrementan y los costos tambien a mayor porcentaje, por tanto se recomienda realizar un análisis o un diagnostico en el proceso de producción. </w:t>
      </w:r>
    </w:p>
    <w:p w:rsidR="006D5EB6" w:rsidRPr="00826531" w:rsidRDefault="006D5EB6" w:rsidP="006D5EB6">
      <w:pPr>
        <w:spacing w:line="360" w:lineRule="auto"/>
        <w:jc w:val="both"/>
        <w:rPr>
          <w:rFonts w:ascii="Times New Roman" w:hAnsi="Times New Roman" w:cs="Times New Roman"/>
          <w:sz w:val="24"/>
          <w:szCs w:val="24"/>
        </w:rPr>
      </w:pPr>
      <w:r>
        <w:rPr>
          <w:rFonts w:ascii="Times New Roman" w:hAnsi="Times New Roman" w:cs="Times New Roman"/>
          <w:sz w:val="24"/>
          <w:szCs w:val="24"/>
        </w:rPr>
        <w:t>Pero se puede observar la eficacia en la gestión operativa dado que su utilidad operativa se incrementa en un 27,55%.</w:t>
      </w:r>
    </w:p>
    <w:p w:rsidR="006D5EB6" w:rsidRPr="00FE11A2" w:rsidRDefault="006D5EB6" w:rsidP="00FA4FAF">
      <w:pPr>
        <w:pStyle w:val="Prrafodelista"/>
        <w:numPr>
          <w:ilvl w:val="0"/>
          <w:numId w:val="26"/>
        </w:numPr>
        <w:spacing w:line="360" w:lineRule="auto"/>
        <w:jc w:val="both"/>
        <w:rPr>
          <w:rFonts w:ascii="Times New Roman" w:hAnsi="Times New Roman" w:cs="Times New Roman"/>
          <w:b/>
          <w:sz w:val="24"/>
          <w:szCs w:val="24"/>
        </w:rPr>
      </w:pPr>
      <w:r w:rsidRPr="00FE11A2">
        <w:rPr>
          <w:rFonts w:ascii="Times New Roman" w:hAnsi="Times New Roman" w:cs="Times New Roman"/>
          <w:b/>
          <w:sz w:val="24"/>
          <w:szCs w:val="24"/>
        </w:rPr>
        <w:t>Determine qué efecto produce la gestión financiera si su apalancamiento se incrementa el 10% tanto en la utilidad neta como en los impuestos.</w:t>
      </w:r>
    </w:p>
    <w:p w:rsidR="006D5EB6" w:rsidRDefault="006D5EB6" w:rsidP="006D5EB6">
      <w:pPr>
        <w:spacing w:line="360" w:lineRule="auto"/>
        <w:jc w:val="both"/>
        <w:rPr>
          <w:rFonts w:ascii="Times New Roman" w:hAnsi="Times New Roman" w:cs="Times New Roman"/>
          <w:sz w:val="24"/>
          <w:szCs w:val="24"/>
        </w:rPr>
      </w:pPr>
      <w:r>
        <w:rPr>
          <w:rFonts w:ascii="Times New Roman" w:hAnsi="Times New Roman" w:cs="Times New Roman"/>
          <w:sz w:val="24"/>
          <w:szCs w:val="24"/>
        </w:rPr>
        <w:t>Al incrementar su punto de apoyo financiero tiene como resultados disminuir los impuestos de participación de trabajadores y el impuesto a la renta, pero su utilidad neta tambien disminuye dando como resultado UPA (Utilidad por acciones) utilidad por acciones menor para cada accionista.</w:t>
      </w:r>
    </w:p>
    <w:p w:rsidR="006D5EB6" w:rsidRDefault="006D5EB6" w:rsidP="006D5EB6">
      <w:pPr>
        <w:spacing w:line="360" w:lineRule="auto"/>
        <w:jc w:val="both"/>
        <w:rPr>
          <w:rFonts w:ascii="Times New Roman" w:hAnsi="Times New Roman" w:cs="Times New Roman"/>
          <w:b/>
          <w:sz w:val="24"/>
          <w:szCs w:val="24"/>
        </w:rPr>
      </w:pPr>
      <w:r w:rsidRPr="001D443D">
        <w:rPr>
          <w:rFonts w:ascii="Times New Roman" w:hAnsi="Times New Roman" w:cs="Times New Roman"/>
          <w:b/>
          <w:sz w:val="24"/>
          <w:szCs w:val="24"/>
        </w:rPr>
        <w:t>Ventajas</w:t>
      </w:r>
    </w:p>
    <w:p w:rsidR="006D5EB6" w:rsidRPr="00C045E9" w:rsidRDefault="006D5EB6" w:rsidP="00FA4FAF">
      <w:pPr>
        <w:pStyle w:val="Prrafodelista"/>
        <w:numPr>
          <w:ilvl w:val="0"/>
          <w:numId w:val="30"/>
        </w:numPr>
        <w:spacing w:line="360" w:lineRule="auto"/>
        <w:jc w:val="both"/>
        <w:rPr>
          <w:rFonts w:ascii="Times New Roman" w:hAnsi="Times New Roman" w:cs="Times New Roman"/>
          <w:sz w:val="24"/>
          <w:szCs w:val="24"/>
        </w:rPr>
      </w:pPr>
      <w:r w:rsidRPr="00C045E9">
        <w:rPr>
          <w:rFonts w:ascii="Times New Roman" w:hAnsi="Times New Roman" w:cs="Times New Roman"/>
          <w:sz w:val="24"/>
          <w:szCs w:val="24"/>
        </w:rPr>
        <w:t>Disminución de impuestos.</w:t>
      </w:r>
    </w:p>
    <w:p w:rsidR="006D5EB6" w:rsidRPr="00C045E9" w:rsidRDefault="006D5EB6" w:rsidP="00FA4FAF">
      <w:pPr>
        <w:pStyle w:val="Prrafodelista"/>
        <w:numPr>
          <w:ilvl w:val="0"/>
          <w:numId w:val="30"/>
        </w:numPr>
        <w:spacing w:line="360" w:lineRule="auto"/>
        <w:jc w:val="both"/>
        <w:rPr>
          <w:rStyle w:val="Textoennegrita"/>
          <w:rFonts w:ascii="Times New Roman" w:hAnsi="Times New Roman" w:cs="Times New Roman"/>
          <w:b w:val="0"/>
          <w:sz w:val="24"/>
          <w:szCs w:val="24"/>
        </w:rPr>
      </w:pPr>
      <w:r w:rsidRPr="00C045E9">
        <w:rPr>
          <w:rStyle w:val="Textoennegrita"/>
          <w:rFonts w:ascii="Times New Roman" w:hAnsi="Times New Roman" w:cs="Times New Roman"/>
          <w:sz w:val="24"/>
          <w:szCs w:val="24"/>
        </w:rPr>
        <w:t>Nos abre la puerta a determinados inversiones.</w:t>
      </w:r>
    </w:p>
    <w:p w:rsidR="006D5EB6" w:rsidRPr="00C045E9" w:rsidRDefault="006D5EB6" w:rsidP="00FA4FAF">
      <w:pPr>
        <w:pStyle w:val="Prrafodelista"/>
        <w:numPr>
          <w:ilvl w:val="0"/>
          <w:numId w:val="30"/>
        </w:numPr>
        <w:spacing w:before="100" w:beforeAutospacing="1" w:after="100" w:afterAutospacing="1" w:line="360" w:lineRule="auto"/>
        <w:jc w:val="both"/>
        <w:rPr>
          <w:rFonts w:ascii="Times New Roman" w:eastAsia="Times New Roman" w:hAnsi="Times New Roman" w:cs="Times New Roman"/>
          <w:sz w:val="24"/>
          <w:szCs w:val="24"/>
          <w:lang w:eastAsia="es-ES"/>
        </w:rPr>
      </w:pPr>
      <w:r w:rsidRPr="00C045E9">
        <w:rPr>
          <w:rFonts w:ascii="Times New Roman" w:eastAsia="Times New Roman" w:hAnsi="Times New Roman" w:cs="Times New Roman"/>
          <w:sz w:val="24"/>
          <w:szCs w:val="24"/>
          <w:lang w:eastAsia="es-ES"/>
        </w:rPr>
        <w:t xml:space="preserve">La ventaja principal es que se puede llegar a multiplicar la rentabilidad. </w:t>
      </w:r>
    </w:p>
    <w:p w:rsidR="006D5EB6" w:rsidRDefault="006D5EB6" w:rsidP="006D5EB6">
      <w:pPr>
        <w:spacing w:line="360" w:lineRule="auto"/>
        <w:jc w:val="both"/>
        <w:rPr>
          <w:rFonts w:ascii="Times New Roman" w:hAnsi="Times New Roman" w:cs="Times New Roman"/>
          <w:b/>
          <w:sz w:val="24"/>
          <w:szCs w:val="24"/>
        </w:rPr>
      </w:pPr>
      <w:r w:rsidRPr="001D443D">
        <w:rPr>
          <w:rFonts w:ascii="Times New Roman" w:hAnsi="Times New Roman" w:cs="Times New Roman"/>
          <w:b/>
          <w:sz w:val="24"/>
          <w:szCs w:val="24"/>
        </w:rPr>
        <w:t>Desventajas</w:t>
      </w:r>
    </w:p>
    <w:p w:rsidR="006D5EB6" w:rsidRPr="00C045E9" w:rsidRDefault="006D5EB6" w:rsidP="00FA4FAF">
      <w:pPr>
        <w:pStyle w:val="Prrafodelista"/>
        <w:numPr>
          <w:ilvl w:val="0"/>
          <w:numId w:val="29"/>
        </w:numPr>
        <w:spacing w:line="360" w:lineRule="auto"/>
        <w:jc w:val="both"/>
        <w:rPr>
          <w:rFonts w:ascii="Times New Roman" w:hAnsi="Times New Roman" w:cs="Times New Roman"/>
          <w:sz w:val="24"/>
          <w:szCs w:val="24"/>
        </w:rPr>
      </w:pPr>
      <w:r w:rsidRPr="00C045E9">
        <w:rPr>
          <w:rFonts w:ascii="Times New Roman" w:hAnsi="Times New Roman" w:cs="Times New Roman"/>
          <w:sz w:val="24"/>
          <w:szCs w:val="24"/>
        </w:rPr>
        <w:t>La utilidad es menor para cada accionista.</w:t>
      </w:r>
    </w:p>
    <w:p w:rsidR="006D5EB6" w:rsidRPr="00C045E9" w:rsidRDefault="006D5EB6" w:rsidP="00FA4FAF">
      <w:pPr>
        <w:pStyle w:val="Prrafodelista"/>
        <w:numPr>
          <w:ilvl w:val="0"/>
          <w:numId w:val="29"/>
        </w:numPr>
        <w:spacing w:line="360" w:lineRule="auto"/>
        <w:jc w:val="both"/>
        <w:rPr>
          <w:rFonts w:ascii="Times New Roman" w:hAnsi="Times New Roman" w:cs="Times New Roman"/>
          <w:sz w:val="24"/>
          <w:szCs w:val="24"/>
        </w:rPr>
      </w:pPr>
      <w:r w:rsidRPr="00C045E9">
        <w:rPr>
          <w:rFonts w:ascii="Times New Roman" w:hAnsi="Times New Roman" w:cs="Times New Roman"/>
          <w:sz w:val="24"/>
          <w:szCs w:val="24"/>
        </w:rPr>
        <w:t>La utilidad neta disminuye.</w:t>
      </w:r>
    </w:p>
    <w:p w:rsidR="006D5EB6" w:rsidRDefault="006D5EB6" w:rsidP="00FA4FAF">
      <w:pPr>
        <w:pStyle w:val="Prrafodelista"/>
        <w:numPr>
          <w:ilvl w:val="0"/>
          <w:numId w:val="29"/>
        </w:numPr>
        <w:spacing w:before="100" w:beforeAutospacing="1" w:after="100" w:afterAutospacing="1" w:line="360" w:lineRule="auto"/>
        <w:jc w:val="both"/>
        <w:rPr>
          <w:rFonts w:ascii="Times New Roman" w:eastAsia="Times New Roman" w:hAnsi="Times New Roman" w:cs="Times New Roman"/>
          <w:sz w:val="24"/>
          <w:szCs w:val="24"/>
          <w:lang w:eastAsia="es-ES"/>
        </w:rPr>
      </w:pPr>
      <w:r w:rsidRPr="00C045E9">
        <w:rPr>
          <w:rFonts w:ascii="Times New Roman" w:eastAsia="Times New Roman" w:hAnsi="Times New Roman" w:cs="Times New Roman"/>
          <w:sz w:val="24"/>
          <w:szCs w:val="24"/>
          <w:lang w:eastAsia="es-ES"/>
        </w:rPr>
        <w:t>El inconveniente más representativo es que dicha operación no salga del todo bien y la persona llegue ser insolvente.</w:t>
      </w:r>
    </w:p>
    <w:p w:rsidR="006D5EB6" w:rsidRPr="00C045E9" w:rsidRDefault="006D5EB6" w:rsidP="006D5EB6">
      <w:pPr>
        <w:spacing w:before="100" w:beforeAutospacing="1" w:after="100" w:afterAutospacing="1" w:line="360" w:lineRule="auto"/>
        <w:jc w:val="both"/>
        <w:rPr>
          <w:rFonts w:ascii="Times New Roman" w:eastAsia="Times New Roman" w:hAnsi="Times New Roman" w:cs="Times New Roman"/>
          <w:sz w:val="24"/>
          <w:szCs w:val="24"/>
          <w:lang w:val="es-ES" w:eastAsia="es-ES"/>
        </w:rPr>
      </w:pPr>
    </w:p>
    <w:p w:rsidR="006D5EB6" w:rsidRDefault="006D5EB6" w:rsidP="00FA4FAF">
      <w:pPr>
        <w:pStyle w:val="Prrafodelista"/>
        <w:numPr>
          <w:ilvl w:val="0"/>
          <w:numId w:val="26"/>
        </w:numPr>
        <w:spacing w:line="360" w:lineRule="auto"/>
        <w:jc w:val="both"/>
        <w:rPr>
          <w:rFonts w:ascii="Times New Roman" w:hAnsi="Times New Roman" w:cs="Times New Roman"/>
          <w:b/>
          <w:sz w:val="24"/>
          <w:szCs w:val="24"/>
        </w:rPr>
      </w:pPr>
      <w:r w:rsidRPr="00FE11A2">
        <w:rPr>
          <w:rFonts w:ascii="Times New Roman" w:hAnsi="Times New Roman" w:cs="Times New Roman"/>
          <w:b/>
          <w:sz w:val="24"/>
          <w:szCs w:val="24"/>
        </w:rPr>
        <w:lastRenderedPageBreak/>
        <w:t>Qué pasaría si se toma la decisión de que la empresa no cuenta con apalancamiento financiero tanto con la utilidad neta como con los impuestos.</w:t>
      </w:r>
    </w:p>
    <w:p w:rsidR="006D5EB6" w:rsidRDefault="006D5EB6" w:rsidP="006D5EB6">
      <w:pPr>
        <w:spacing w:line="360" w:lineRule="auto"/>
        <w:jc w:val="both"/>
        <w:rPr>
          <w:rFonts w:ascii="Times New Roman" w:hAnsi="Times New Roman" w:cs="Times New Roman"/>
          <w:sz w:val="24"/>
          <w:szCs w:val="24"/>
        </w:rPr>
      </w:pPr>
      <w:r w:rsidRPr="00FE11A2">
        <w:rPr>
          <w:rFonts w:ascii="Times New Roman" w:hAnsi="Times New Roman" w:cs="Times New Roman"/>
          <w:sz w:val="24"/>
          <w:szCs w:val="24"/>
        </w:rPr>
        <w:t xml:space="preserve">Al no contar con apalancamiento </w:t>
      </w:r>
      <w:r>
        <w:rPr>
          <w:rFonts w:ascii="Times New Roman" w:hAnsi="Times New Roman" w:cs="Times New Roman"/>
          <w:sz w:val="24"/>
          <w:szCs w:val="24"/>
        </w:rPr>
        <w:t xml:space="preserve">financiero </w:t>
      </w:r>
      <w:r w:rsidRPr="00FE11A2">
        <w:rPr>
          <w:rFonts w:ascii="Times New Roman" w:hAnsi="Times New Roman" w:cs="Times New Roman"/>
          <w:sz w:val="24"/>
          <w:szCs w:val="24"/>
        </w:rPr>
        <w:t>la empresa</w:t>
      </w:r>
      <w:r>
        <w:rPr>
          <w:rFonts w:ascii="Times New Roman" w:hAnsi="Times New Roman" w:cs="Times New Roman"/>
          <w:sz w:val="24"/>
          <w:szCs w:val="24"/>
        </w:rPr>
        <w:t xml:space="preserve"> incrementaría la utilidad neta.</w:t>
      </w:r>
    </w:p>
    <w:p w:rsidR="006D5EB6" w:rsidRDefault="006D5EB6" w:rsidP="006D5EB6">
      <w:pPr>
        <w:spacing w:line="360" w:lineRule="auto"/>
        <w:jc w:val="both"/>
        <w:rPr>
          <w:rFonts w:ascii="Times New Roman" w:hAnsi="Times New Roman" w:cs="Times New Roman"/>
          <w:sz w:val="24"/>
          <w:szCs w:val="24"/>
        </w:rPr>
      </w:pPr>
    </w:p>
    <w:p w:rsidR="006D5EB6" w:rsidRDefault="006D5EB6" w:rsidP="006D5EB6">
      <w:pPr>
        <w:spacing w:line="360" w:lineRule="auto"/>
        <w:jc w:val="both"/>
        <w:rPr>
          <w:rFonts w:ascii="Times New Roman" w:hAnsi="Times New Roman" w:cs="Times New Roman"/>
          <w:b/>
          <w:sz w:val="24"/>
          <w:szCs w:val="24"/>
        </w:rPr>
      </w:pPr>
      <w:r w:rsidRPr="001D443D">
        <w:rPr>
          <w:rFonts w:ascii="Times New Roman" w:hAnsi="Times New Roman" w:cs="Times New Roman"/>
          <w:b/>
          <w:sz w:val="24"/>
          <w:szCs w:val="24"/>
        </w:rPr>
        <w:t>Ventajas</w:t>
      </w:r>
    </w:p>
    <w:p w:rsidR="006D5EB6" w:rsidRPr="00C045E9" w:rsidRDefault="006D5EB6" w:rsidP="00FA4FAF">
      <w:pPr>
        <w:pStyle w:val="Prrafodelista"/>
        <w:numPr>
          <w:ilvl w:val="0"/>
          <w:numId w:val="28"/>
        </w:numPr>
        <w:spacing w:before="100" w:beforeAutospacing="1" w:after="100" w:afterAutospacing="1" w:line="360" w:lineRule="auto"/>
        <w:jc w:val="both"/>
        <w:rPr>
          <w:rFonts w:ascii="Times New Roman" w:eastAsia="Times New Roman" w:hAnsi="Times New Roman" w:cs="Times New Roman"/>
          <w:sz w:val="24"/>
          <w:szCs w:val="24"/>
          <w:lang w:eastAsia="es-ES"/>
        </w:rPr>
      </w:pPr>
      <w:r w:rsidRPr="00C045E9">
        <w:rPr>
          <w:rFonts w:ascii="Times New Roman" w:eastAsia="Times New Roman" w:hAnsi="Times New Roman" w:cs="Times New Roman"/>
          <w:sz w:val="24"/>
          <w:szCs w:val="24"/>
          <w:lang w:eastAsia="es-ES"/>
        </w:rPr>
        <w:t xml:space="preserve">La ventaja principal es que se puede llegar a multiplicar la rentabilidad. </w:t>
      </w:r>
    </w:p>
    <w:p w:rsidR="006D5EB6" w:rsidRPr="00C045E9" w:rsidRDefault="006D5EB6" w:rsidP="00FA4FAF">
      <w:pPr>
        <w:pStyle w:val="Prrafodelista"/>
        <w:numPr>
          <w:ilvl w:val="0"/>
          <w:numId w:val="28"/>
        </w:numPr>
        <w:spacing w:line="360" w:lineRule="auto"/>
        <w:jc w:val="both"/>
        <w:rPr>
          <w:rFonts w:ascii="Times New Roman" w:hAnsi="Times New Roman" w:cs="Times New Roman"/>
          <w:sz w:val="24"/>
          <w:szCs w:val="24"/>
        </w:rPr>
      </w:pPr>
      <w:r w:rsidRPr="00C045E9">
        <w:rPr>
          <w:rFonts w:ascii="Times New Roman" w:hAnsi="Times New Roman" w:cs="Times New Roman"/>
          <w:sz w:val="24"/>
          <w:szCs w:val="24"/>
        </w:rPr>
        <w:t>Disminución de impuestos.</w:t>
      </w:r>
    </w:p>
    <w:p w:rsidR="006D5EB6" w:rsidRPr="00C045E9" w:rsidRDefault="006D5EB6" w:rsidP="00FA4FAF">
      <w:pPr>
        <w:pStyle w:val="Prrafodelista"/>
        <w:numPr>
          <w:ilvl w:val="0"/>
          <w:numId w:val="28"/>
        </w:numPr>
        <w:spacing w:line="360" w:lineRule="auto"/>
        <w:jc w:val="both"/>
        <w:rPr>
          <w:rFonts w:ascii="Times New Roman" w:hAnsi="Times New Roman" w:cs="Times New Roman"/>
          <w:sz w:val="24"/>
          <w:szCs w:val="24"/>
        </w:rPr>
      </w:pPr>
      <w:r w:rsidRPr="00C045E9">
        <w:rPr>
          <w:rFonts w:ascii="Times New Roman" w:hAnsi="Times New Roman" w:cs="Times New Roman"/>
          <w:sz w:val="24"/>
          <w:szCs w:val="24"/>
        </w:rPr>
        <w:t>Se incrementa la utilidad neta.</w:t>
      </w:r>
    </w:p>
    <w:p w:rsidR="006D5EB6" w:rsidRDefault="006D5EB6" w:rsidP="006D5EB6">
      <w:pPr>
        <w:spacing w:line="360" w:lineRule="auto"/>
        <w:jc w:val="both"/>
        <w:rPr>
          <w:rFonts w:ascii="Times New Roman" w:hAnsi="Times New Roman" w:cs="Times New Roman"/>
          <w:b/>
          <w:sz w:val="24"/>
          <w:szCs w:val="24"/>
        </w:rPr>
      </w:pPr>
      <w:r w:rsidRPr="001D443D">
        <w:rPr>
          <w:rFonts w:ascii="Times New Roman" w:hAnsi="Times New Roman" w:cs="Times New Roman"/>
          <w:b/>
          <w:sz w:val="24"/>
          <w:szCs w:val="24"/>
        </w:rPr>
        <w:t>Desventajas</w:t>
      </w:r>
    </w:p>
    <w:p w:rsidR="006D5EB6" w:rsidRPr="00C045E9" w:rsidRDefault="006D5EB6" w:rsidP="00FA4FAF">
      <w:pPr>
        <w:pStyle w:val="Default"/>
        <w:numPr>
          <w:ilvl w:val="0"/>
          <w:numId w:val="27"/>
        </w:numPr>
        <w:spacing w:line="360" w:lineRule="auto"/>
        <w:jc w:val="both"/>
      </w:pPr>
      <w:r w:rsidRPr="00C045E9">
        <w:t>El gobierno recibe menos ingresos por concepto de pagos de impuestos, ya estos son deducibles.</w:t>
      </w:r>
    </w:p>
    <w:p w:rsidR="006D5EB6" w:rsidRPr="00C045E9" w:rsidRDefault="006D5EB6" w:rsidP="00FA4FAF">
      <w:pPr>
        <w:pStyle w:val="Default"/>
        <w:numPr>
          <w:ilvl w:val="0"/>
          <w:numId w:val="27"/>
        </w:numPr>
        <w:spacing w:line="360" w:lineRule="auto"/>
        <w:jc w:val="both"/>
      </w:pPr>
      <w:r w:rsidRPr="00C045E9">
        <w:t xml:space="preserve">Implica que a más endeudamiento destinado a la financiación del activo, menor es la rentabilidad de los fondos aportados por los accionistas, hasta el punto que puede llegar a ser negativa, al poner en pérdidas el negocio. </w:t>
      </w:r>
    </w:p>
    <w:p w:rsidR="006D5EB6" w:rsidRPr="00C045E9" w:rsidRDefault="006D5EB6" w:rsidP="00FA4FAF">
      <w:pPr>
        <w:pStyle w:val="Default"/>
        <w:numPr>
          <w:ilvl w:val="0"/>
          <w:numId w:val="27"/>
        </w:numPr>
        <w:spacing w:line="360" w:lineRule="auto"/>
        <w:jc w:val="both"/>
      </w:pPr>
      <w:r>
        <w:t>Si l</w:t>
      </w:r>
      <w:r w:rsidRPr="00C045E9">
        <w:t>a empresa care</w:t>
      </w:r>
      <w:r>
        <w:t>ce de apalancamiento financiero una desventaja es que esta no puede financiarse.</w:t>
      </w:r>
    </w:p>
    <w:p w:rsidR="006D5EB6" w:rsidRPr="00C045E9" w:rsidRDefault="006D5EB6" w:rsidP="006D5EB6">
      <w:pPr>
        <w:pStyle w:val="Default"/>
        <w:spacing w:line="360" w:lineRule="auto"/>
        <w:jc w:val="both"/>
      </w:pPr>
    </w:p>
    <w:p w:rsidR="006D5EB6" w:rsidRPr="00061AC9" w:rsidRDefault="006D5EB6" w:rsidP="006D5EB6">
      <w:pPr>
        <w:spacing w:line="360" w:lineRule="auto"/>
        <w:jc w:val="center"/>
        <w:rPr>
          <w:rFonts w:ascii="Times New Roman" w:hAnsi="Times New Roman" w:cs="Times New Roman"/>
          <w:sz w:val="52"/>
          <w:szCs w:val="52"/>
          <w:lang w:val="es-ES"/>
        </w:rPr>
      </w:pPr>
    </w:p>
    <w:p w:rsidR="006D5EB6" w:rsidRDefault="006D5EB6" w:rsidP="006D5EB6">
      <w:pPr>
        <w:jc w:val="center"/>
        <w:rPr>
          <w:rFonts w:ascii="Times New Roman" w:hAnsi="Times New Roman" w:cs="Times New Roman"/>
          <w:sz w:val="52"/>
          <w:szCs w:val="52"/>
        </w:rPr>
      </w:pPr>
    </w:p>
    <w:p w:rsidR="006D5EB6" w:rsidRDefault="006D5EB6" w:rsidP="006D5EB6">
      <w:pPr>
        <w:rPr>
          <w:rFonts w:ascii="Times New Roman" w:hAnsi="Times New Roman" w:cs="Times New Roman"/>
          <w:sz w:val="52"/>
          <w:szCs w:val="52"/>
        </w:rPr>
      </w:pPr>
    </w:p>
    <w:p w:rsidR="006D5EB6" w:rsidRDefault="006D5EB6" w:rsidP="006D5EB6">
      <w:pPr>
        <w:autoSpaceDE w:val="0"/>
        <w:autoSpaceDN w:val="0"/>
        <w:adjustRightInd w:val="0"/>
        <w:spacing w:after="0" w:line="360" w:lineRule="auto"/>
        <w:jc w:val="both"/>
        <w:rPr>
          <w:rFonts w:ascii="Times New Roman" w:hAnsi="Times New Roman" w:cs="Times New Roman"/>
          <w:sz w:val="24"/>
          <w:szCs w:val="24"/>
        </w:rPr>
      </w:pPr>
    </w:p>
    <w:p w:rsidR="00697258" w:rsidRDefault="00697258"/>
    <w:sectPr w:rsidR="00697258" w:rsidSect="0069725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Droid Sans Fallback">
    <w:altName w:val="Times New Roman"/>
    <w:panose1 w:val="00000000000000000000"/>
    <w:charset w:val="00"/>
    <w:family w:val="roman"/>
    <w:notTrueType/>
    <w:pitch w:val="default"/>
    <w:sig w:usb0="00000000" w:usb1="00000000" w:usb2="00000000" w:usb3="00000000" w:csb0="00000000" w:csb1="00000000"/>
  </w:font>
  <w:font w:name="Liberation Sans">
    <w:panose1 w:val="00000000000000000000"/>
    <w:charset w:val="00"/>
    <w:family w:val="roman"/>
    <w:notTrueType/>
    <w:pitch w:val="default"/>
    <w:sig w:usb0="00000000" w:usb1="00000000" w:usb2="00000000" w:usb3="00000000" w:csb0="00000000" w:csb1="00000000"/>
  </w:font>
  <w:font w:name="WenQuanYi Micro Hei">
    <w:panose1 w:val="00000000000000000000"/>
    <w:charset w:val="00"/>
    <w:family w:val="roman"/>
    <w:notTrueType/>
    <w:pitch w:val="default"/>
    <w:sig w:usb0="00000000" w:usb1="00000000" w:usb2="00000000" w:usb3="00000000" w:csb0="00000000" w:csb1="00000000"/>
  </w:font>
  <w:font w:name="Lohit Hindi">
    <w:panose1 w:val="00000000000000000000"/>
    <w:charset w:val="00"/>
    <w:family w:val="roman"/>
    <w:notTrueType/>
    <w:pitch w:val="default"/>
    <w:sig w:usb0="00000000" w:usb1="00000000" w:usb2="00000000" w:usb3="00000000" w:csb0="00000000" w:csb1="00000000"/>
  </w:font>
  <w:font w:name="Stencil">
    <w:panose1 w:val="040409050D0802020404"/>
    <w:charset w:val="00"/>
    <w:family w:val="decorativ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16B7F"/>
    <w:multiLevelType w:val="hybridMultilevel"/>
    <w:tmpl w:val="7CA2E864"/>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115A69A7"/>
    <w:multiLevelType w:val="hybridMultilevel"/>
    <w:tmpl w:val="F13C53BC"/>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16C54713"/>
    <w:multiLevelType w:val="hybridMultilevel"/>
    <w:tmpl w:val="B36847E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nsid w:val="18937421"/>
    <w:multiLevelType w:val="hybridMultilevel"/>
    <w:tmpl w:val="7F0C69EA"/>
    <w:lvl w:ilvl="0" w:tplc="300A0011">
      <w:start w:val="1"/>
      <w:numFmt w:val="decimal"/>
      <w:lvlText w:val="%1)"/>
      <w:lvlJc w:val="left"/>
      <w:pPr>
        <w:ind w:left="720" w:hanging="360"/>
      </w:pPr>
      <w:rPr>
        <w:rFont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nsid w:val="1E0E25D0"/>
    <w:multiLevelType w:val="hybridMultilevel"/>
    <w:tmpl w:val="AA20301C"/>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nsid w:val="29432DC3"/>
    <w:multiLevelType w:val="hybridMultilevel"/>
    <w:tmpl w:val="84C4E9D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2DA4347C"/>
    <w:multiLevelType w:val="hybridMultilevel"/>
    <w:tmpl w:val="53541CEA"/>
    <w:lvl w:ilvl="0" w:tplc="300A000F">
      <w:start w:val="1"/>
      <w:numFmt w:val="decimal"/>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7">
    <w:nsid w:val="3A72574C"/>
    <w:multiLevelType w:val="hybridMultilevel"/>
    <w:tmpl w:val="8E329D8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
    <w:nsid w:val="3E200F58"/>
    <w:multiLevelType w:val="hybridMultilevel"/>
    <w:tmpl w:val="C4B04BA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9">
    <w:nsid w:val="44A70F4F"/>
    <w:multiLevelType w:val="hybridMultilevel"/>
    <w:tmpl w:val="F3CA4D88"/>
    <w:lvl w:ilvl="0" w:tplc="300A000D">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nsid w:val="45076E02"/>
    <w:multiLevelType w:val="hybridMultilevel"/>
    <w:tmpl w:val="FFF611B0"/>
    <w:lvl w:ilvl="0" w:tplc="300A0011">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1">
    <w:nsid w:val="463C2394"/>
    <w:multiLevelType w:val="hybridMultilevel"/>
    <w:tmpl w:val="14F6A8F8"/>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2">
    <w:nsid w:val="47124FF8"/>
    <w:multiLevelType w:val="hybridMultilevel"/>
    <w:tmpl w:val="D0980350"/>
    <w:lvl w:ilvl="0" w:tplc="300A0011">
      <w:start w:val="1"/>
      <w:numFmt w:val="decimal"/>
      <w:lvlText w:val="%1)"/>
      <w:lvlJc w:val="left"/>
      <w:pPr>
        <w:ind w:left="720" w:hanging="360"/>
      </w:pPr>
    </w:lvl>
    <w:lvl w:ilvl="1" w:tplc="300A0011">
      <w:start w:val="1"/>
      <w:numFmt w:val="decimal"/>
      <w:lvlText w:val="%2)"/>
      <w:lvlJc w:val="left"/>
      <w:pPr>
        <w:ind w:left="1470" w:hanging="390"/>
      </w:pPr>
      <w:rPr>
        <w:rFonts w:hint="default"/>
      </w:r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3">
    <w:nsid w:val="47BF3802"/>
    <w:multiLevelType w:val="hybridMultilevel"/>
    <w:tmpl w:val="E0D2600C"/>
    <w:lvl w:ilvl="0" w:tplc="300A000D">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nsid w:val="495912ED"/>
    <w:multiLevelType w:val="hybridMultilevel"/>
    <w:tmpl w:val="6A06F324"/>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5">
    <w:nsid w:val="4A14178B"/>
    <w:multiLevelType w:val="hybridMultilevel"/>
    <w:tmpl w:val="B334715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6">
    <w:nsid w:val="4D851C1B"/>
    <w:multiLevelType w:val="hybridMultilevel"/>
    <w:tmpl w:val="D7C408D2"/>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7">
    <w:nsid w:val="4D9D58B4"/>
    <w:multiLevelType w:val="hybridMultilevel"/>
    <w:tmpl w:val="50867864"/>
    <w:lvl w:ilvl="0" w:tplc="300A000D">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8">
    <w:nsid w:val="606F536D"/>
    <w:multiLevelType w:val="hybridMultilevel"/>
    <w:tmpl w:val="957073A2"/>
    <w:lvl w:ilvl="0" w:tplc="22C08F08">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9">
    <w:nsid w:val="63197090"/>
    <w:multiLevelType w:val="hybridMultilevel"/>
    <w:tmpl w:val="0A12BF28"/>
    <w:lvl w:ilvl="0" w:tplc="300A0001">
      <w:start w:val="1"/>
      <w:numFmt w:val="bullet"/>
      <w:lvlText w:val=""/>
      <w:lvlJc w:val="left"/>
      <w:pPr>
        <w:ind w:left="720" w:hanging="360"/>
      </w:pPr>
      <w:rPr>
        <w:rFonts w:ascii="Symbol" w:hAnsi="Symbol" w:hint="default"/>
      </w:rPr>
    </w:lvl>
    <w:lvl w:ilvl="1" w:tplc="300A0009">
      <w:start w:val="1"/>
      <w:numFmt w:val="bullet"/>
      <w:lvlText w:val=""/>
      <w:lvlJc w:val="left"/>
      <w:pPr>
        <w:ind w:left="1440" w:hanging="360"/>
      </w:pPr>
      <w:rPr>
        <w:rFonts w:ascii="Wingdings" w:hAnsi="Wingdings"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0">
    <w:nsid w:val="63DE12C8"/>
    <w:multiLevelType w:val="hybridMultilevel"/>
    <w:tmpl w:val="3CDE7F14"/>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1">
    <w:nsid w:val="6E22510C"/>
    <w:multiLevelType w:val="hybridMultilevel"/>
    <w:tmpl w:val="0EC01AD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2">
    <w:nsid w:val="754F1628"/>
    <w:multiLevelType w:val="hybridMultilevel"/>
    <w:tmpl w:val="8468FF8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3">
    <w:nsid w:val="76D93A63"/>
    <w:multiLevelType w:val="hybridMultilevel"/>
    <w:tmpl w:val="45E4AA52"/>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4">
    <w:nsid w:val="7A167774"/>
    <w:multiLevelType w:val="hybridMultilevel"/>
    <w:tmpl w:val="EF0681F0"/>
    <w:lvl w:ilvl="0" w:tplc="0C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5">
    <w:nsid w:val="7A352785"/>
    <w:multiLevelType w:val="hybridMultilevel"/>
    <w:tmpl w:val="938A8A22"/>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6">
    <w:nsid w:val="7B3C79BE"/>
    <w:multiLevelType w:val="hybridMultilevel"/>
    <w:tmpl w:val="8B662DE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7BCB64B5"/>
    <w:multiLevelType w:val="hybridMultilevel"/>
    <w:tmpl w:val="7494E2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7E3B7E46"/>
    <w:multiLevelType w:val="hybridMultilevel"/>
    <w:tmpl w:val="37BA34AA"/>
    <w:lvl w:ilvl="0" w:tplc="300A000D">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9">
    <w:nsid w:val="7F704B40"/>
    <w:multiLevelType w:val="hybridMultilevel"/>
    <w:tmpl w:val="409AE19A"/>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1"/>
  </w:num>
  <w:num w:numId="4">
    <w:abstractNumId w:val="9"/>
  </w:num>
  <w:num w:numId="5">
    <w:abstractNumId w:val="18"/>
  </w:num>
  <w:num w:numId="6">
    <w:abstractNumId w:val="7"/>
  </w:num>
  <w:num w:numId="7">
    <w:abstractNumId w:val="4"/>
  </w:num>
  <w:num w:numId="8">
    <w:abstractNumId w:val="2"/>
  </w:num>
  <w:num w:numId="9">
    <w:abstractNumId w:val="23"/>
  </w:num>
  <w:num w:numId="10">
    <w:abstractNumId w:val="28"/>
  </w:num>
  <w:num w:numId="11">
    <w:abstractNumId w:val="17"/>
  </w:num>
  <w:num w:numId="12">
    <w:abstractNumId w:val="13"/>
  </w:num>
  <w:num w:numId="13">
    <w:abstractNumId w:val="11"/>
  </w:num>
  <w:num w:numId="14">
    <w:abstractNumId w:val="0"/>
  </w:num>
  <w:num w:numId="15">
    <w:abstractNumId w:val="15"/>
  </w:num>
  <w:num w:numId="16">
    <w:abstractNumId w:val="14"/>
  </w:num>
  <w:num w:numId="17">
    <w:abstractNumId w:val="3"/>
  </w:num>
  <w:num w:numId="18">
    <w:abstractNumId w:val="12"/>
  </w:num>
  <w:num w:numId="19">
    <w:abstractNumId w:val="19"/>
  </w:num>
  <w:num w:numId="20">
    <w:abstractNumId w:val="6"/>
  </w:num>
  <w:num w:numId="21">
    <w:abstractNumId w:val="21"/>
  </w:num>
  <w:num w:numId="22">
    <w:abstractNumId w:val="8"/>
  </w:num>
  <w:num w:numId="23">
    <w:abstractNumId w:val="10"/>
  </w:num>
  <w:num w:numId="24">
    <w:abstractNumId w:val="29"/>
  </w:num>
  <w:num w:numId="25">
    <w:abstractNumId w:val="16"/>
  </w:num>
  <w:num w:numId="26">
    <w:abstractNumId w:val="20"/>
  </w:num>
  <w:num w:numId="27">
    <w:abstractNumId w:val="5"/>
  </w:num>
  <w:num w:numId="28">
    <w:abstractNumId w:val="27"/>
  </w:num>
  <w:num w:numId="29">
    <w:abstractNumId w:val="24"/>
  </w:num>
  <w:num w:numId="30">
    <w:abstractNumId w:val="26"/>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grammar="clean"/>
  <w:defaultTabStop w:val="708"/>
  <w:hyphenationZone w:val="425"/>
  <w:characterSpacingControl w:val="doNotCompress"/>
  <w:compat/>
  <w:rsids>
    <w:rsidRoot w:val="006D5EB6"/>
    <w:rsid w:val="00296646"/>
    <w:rsid w:val="0044613C"/>
    <w:rsid w:val="005F4A19"/>
    <w:rsid w:val="0064559C"/>
    <w:rsid w:val="00697258"/>
    <w:rsid w:val="006D5EB6"/>
    <w:rsid w:val="00750CA2"/>
    <w:rsid w:val="00A429C8"/>
    <w:rsid w:val="00CB7DCD"/>
    <w:rsid w:val="00D14DC4"/>
    <w:rsid w:val="00FA4FAF"/>
  </w:rsids>
  <m:mathPr>
    <m:mathFont m:val="Cambria Math"/>
    <m:brkBin m:val="before"/>
    <m:brkBinSub m:val="--"/>
    <m:smallFrac m:val="off"/>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030"/>
        <o:r id="V:Rule2" type="callout" idref="#_x0000_s1031"/>
        <o:r id="V:Rule3" type="callout" idref="#_x0000_s1028"/>
        <o:r id="V:Rule4" type="callout" idref="#_x0000_s1029"/>
        <o:r id="V:Rule5" type="callout" idref="#_x0000_s1032"/>
        <o:r id="V:Rule6" type="callout" idref="#_x0000_s1033"/>
        <o:r id="V:Rule7" type="callout" idref="#_x0000_s1034"/>
        <o:r id="V:Rule8" type="callout"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EB6"/>
  </w:style>
  <w:style w:type="paragraph" w:styleId="Ttulo1">
    <w:name w:val="heading 1"/>
    <w:basedOn w:val="Normal"/>
    <w:link w:val="Ttulo1Car"/>
    <w:uiPriority w:val="9"/>
    <w:qFormat/>
    <w:rsid w:val="006D5EB6"/>
    <w:pPr>
      <w:spacing w:before="100" w:beforeAutospacing="1" w:after="100" w:afterAutospacing="1" w:line="240" w:lineRule="auto"/>
      <w:outlineLvl w:val="0"/>
    </w:pPr>
    <w:rPr>
      <w:rFonts w:ascii="Times New Roman" w:eastAsia="Times New Roman" w:hAnsi="Times New Roman" w:cs="Times New Roman"/>
      <w:b/>
      <w:bCs/>
      <w:kern w:val="36"/>
      <w:sz w:val="48"/>
      <w:szCs w:val="48"/>
      <w:lang w:val="es-ES" w:eastAsia="es-ES"/>
    </w:rPr>
  </w:style>
  <w:style w:type="paragraph" w:styleId="Ttulo2">
    <w:name w:val="heading 2"/>
    <w:basedOn w:val="Normal"/>
    <w:next w:val="Normal"/>
    <w:link w:val="Ttulo2Car"/>
    <w:uiPriority w:val="9"/>
    <w:unhideWhenUsed/>
    <w:qFormat/>
    <w:rsid w:val="00D14DC4"/>
    <w:pPr>
      <w:keepNext/>
      <w:keepLines/>
      <w:spacing w:before="200" w:after="0"/>
      <w:outlineLvl w:val="1"/>
    </w:pPr>
    <w:rPr>
      <w:rFonts w:asciiTheme="majorHAnsi" w:eastAsiaTheme="majorEastAsia" w:hAnsiTheme="majorHAnsi" w:cstheme="majorBidi"/>
      <w:b/>
      <w:bCs/>
      <w:color w:val="0F6FC6" w:themeColor="accent1"/>
      <w:sz w:val="26"/>
      <w:szCs w:val="26"/>
    </w:rPr>
  </w:style>
  <w:style w:type="paragraph" w:styleId="Ttulo3">
    <w:name w:val="heading 3"/>
    <w:basedOn w:val="Normal"/>
    <w:next w:val="Normal"/>
    <w:link w:val="Ttulo3Car"/>
    <w:uiPriority w:val="9"/>
    <w:unhideWhenUsed/>
    <w:qFormat/>
    <w:rsid w:val="006D5EB6"/>
    <w:pPr>
      <w:keepNext/>
      <w:keepLines/>
      <w:spacing w:before="200" w:after="0"/>
      <w:outlineLvl w:val="2"/>
    </w:pPr>
    <w:rPr>
      <w:rFonts w:asciiTheme="majorHAnsi" w:eastAsiaTheme="majorEastAsia" w:hAnsiTheme="majorHAnsi" w:cstheme="majorBidi"/>
      <w:b/>
      <w:bCs/>
      <w:color w:val="0F6FC6" w:themeColor="accent1"/>
      <w:lang w:val="es-ES" w:eastAsia="es-ES"/>
    </w:rPr>
  </w:style>
  <w:style w:type="paragraph" w:styleId="Ttulo4">
    <w:name w:val="heading 4"/>
    <w:basedOn w:val="Normal"/>
    <w:next w:val="Normal"/>
    <w:link w:val="Ttulo4Car"/>
    <w:uiPriority w:val="9"/>
    <w:semiHidden/>
    <w:unhideWhenUsed/>
    <w:qFormat/>
    <w:rsid w:val="006D5EB6"/>
    <w:pPr>
      <w:keepNext/>
      <w:keepLines/>
      <w:spacing w:before="200" w:after="0"/>
      <w:outlineLvl w:val="3"/>
    </w:pPr>
    <w:rPr>
      <w:rFonts w:asciiTheme="majorHAnsi" w:eastAsiaTheme="majorEastAsia" w:hAnsiTheme="majorHAnsi" w:cstheme="majorBidi"/>
      <w:b/>
      <w:bCs/>
      <w:i/>
      <w:iCs/>
      <w:color w:val="0F6FC6" w:themeColor="accent1"/>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D14DC4"/>
    <w:rPr>
      <w:rFonts w:asciiTheme="majorHAnsi" w:eastAsiaTheme="majorEastAsia" w:hAnsiTheme="majorHAnsi" w:cstheme="majorBidi"/>
      <w:b/>
      <w:bCs/>
      <w:color w:val="0F6FC6" w:themeColor="accent1"/>
      <w:sz w:val="26"/>
      <w:szCs w:val="26"/>
    </w:rPr>
  </w:style>
  <w:style w:type="character" w:customStyle="1" w:styleId="Ttulo1Car">
    <w:name w:val="Título 1 Car"/>
    <w:basedOn w:val="Fuentedeprrafopredeter"/>
    <w:link w:val="Ttulo1"/>
    <w:uiPriority w:val="9"/>
    <w:rsid w:val="006D5EB6"/>
    <w:rPr>
      <w:rFonts w:ascii="Times New Roman" w:eastAsia="Times New Roman" w:hAnsi="Times New Roman" w:cs="Times New Roman"/>
      <w:b/>
      <w:bCs/>
      <w:kern w:val="36"/>
      <w:sz w:val="48"/>
      <w:szCs w:val="48"/>
      <w:lang w:val="es-ES" w:eastAsia="es-ES"/>
    </w:rPr>
  </w:style>
  <w:style w:type="character" w:customStyle="1" w:styleId="Ttulo3Car">
    <w:name w:val="Título 3 Car"/>
    <w:basedOn w:val="Fuentedeprrafopredeter"/>
    <w:link w:val="Ttulo3"/>
    <w:uiPriority w:val="9"/>
    <w:rsid w:val="006D5EB6"/>
    <w:rPr>
      <w:rFonts w:asciiTheme="majorHAnsi" w:eastAsiaTheme="majorEastAsia" w:hAnsiTheme="majorHAnsi" w:cstheme="majorBidi"/>
      <w:b/>
      <w:bCs/>
      <w:color w:val="0F6FC6" w:themeColor="accent1"/>
      <w:lang w:val="es-ES" w:eastAsia="es-ES"/>
    </w:rPr>
  </w:style>
  <w:style w:type="character" w:customStyle="1" w:styleId="Ttulo4Car">
    <w:name w:val="Título 4 Car"/>
    <w:basedOn w:val="Fuentedeprrafopredeter"/>
    <w:link w:val="Ttulo4"/>
    <w:uiPriority w:val="9"/>
    <w:semiHidden/>
    <w:rsid w:val="006D5EB6"/>
    <w:rPr>
      <w:rFonts w:asciiTheme="majorHAnsi" w:eastAsiaTheme="majorEastAsia" w:hAnsiTheme="majorHAnsi" w:cstheme="majorBidi"/>
      <w:b/>
      <w:bCs/>
      <w:i/>
      <w:iCs/>
      <w:color w:val="0F6FC6" w:themeColor="accent1"/>
      <w:lang w:val="es-ES" w:eastAsia="es-ES"/>
    </w:rPr>
  </w:style>
  <w:style w:type="paragraph" w:styleId="Textodeglobo">
    <w:name w:val="Balloon Text"/>
    <w:basedOn w:val="Normal"/>
    <w:link w:val="TextodegloboCar"/>
    <w:unhideWhenUsed/>
    <w:rsid w:val="006D5EB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rsid w:val="006D5EB6"/>
    <w:rPr>
      <w:rFonts w:ascii="Tahoma" w:hAnsi="Tahoma" w:cs="Tahoma"/>
      <w:sz w:val="16"/>
      <w:szCs w:val="16"/>
    </w:rPr>
  </w:style>
  <w:style w:type="paragraph" w:styleId="Sinespaciado">
    <w:name w:val="No Spacing"/>
    <w:link w:val="SinespaciadoCar"/>
    <w:uiPriority w:val="1"/>
    <w:qFormat/>
    <w:rsid w:val="006D5EB6"/>
    <w:pPr>
      <w:spacing w:after="0" w:line="240" w:lineRule="auto"/>
    </w:pPr>
    <w:rPr>
      <w:rFonts w:eastAsiaTheme="minorEastAsia"/>
      <w:lang w:val="es-ES" w:eastAsia="es-EC"/>
    </w:rPr>
  </w:style>
  <w:style w:type="paragraph" w:styleId="NormalWeb">
    <w:name w:val="Normal (Web)"/>
    <w:basedOn w:val="Normal"/>
    <w:uiPriority w:val="99"/>
    <w:unhideWhenUsed/>
    <w:rsid w:val="006D5EB6"/>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mw-headline">
    <w:name w:val="mw-headline"/>
    <w:basedOn w:val="Fuentedeprrafopredeter"/>
    <w:rsid w:val="006D5EB6"/>
  </w:style>
  <w:style w:type="character" w:customStyle="1" w:styleId="ft0p21">
    <w:name w:val="ft0p21"/>
    <w:basedOn w:val="Fuentedeprrafopredeter"/>
    <w:rsid w:val="006D5EB6"/>
  </w:style>
  <w:style w:type="paragraph" w:styleId="Textonotapie">
    <w:name w:val="footnote text"/>
    <w:basedOn w:val="Normal"/>
    <w:link w:val="TextonotapieCar"/>
    <w:uiPriority w:val="99"/>
    <w:semiHidden/>
    <w:unhideWhenUsed/>
    <w:rsid w:val="006D5EB6"/>
    <w:pPr>
      <w:spacing w:after="0" w:line="240" w:lineRule="auto"/>
    </w:pPr>
    <w:rPr>
      <w:rFonts w:eastAsiaTheme="minorEastAsia"/>
      <w:sz w:val="20"/>
      <w:szCs w:val="20"/>
      <w:lang w:val="es-ES" w:eastAsia="es-ES"/>
    </w:rPr>
  </w:style>
  <w:style w:type="character" w:customStyle="1" w:styleId="TextonotapieCar">
    <w:name w:val="Texto nota pie Car"/>
    <w:basedOn w:val="Fuentedeprrafopredeter"/>
    <w:link w:val="Textonotapie"/>
    <w:uiPriority w:val="99"/>
    <w:semiHidden/>
    <w:rsid w:val="006D5EB6"/>
    <w:rPr>
      <w:rFonts w:eastAsiaTheme="minorEastAsia"/>
      <w:sz w:val="20"/>
      <w:szCs w:val="20"/>
      <w:lang w:val="es-ES" w:eastAsia="es-ES"/>
    </w:rPr>
  </w:style>
  <w:style w:type="character" w:styleId="Refdenotaalpie">
    <w:name w:val="footnote reference"/>
    <w:basedOn w:val="Fuentedeprrafopredeter"/>
    <w:uiPriority w:val="99"/>
    <w:semiHidden/>
    <w:unhideWhenUsed/>
    <w:rsid w:val="006D5EB6"/>
    <w:rPr>
      <w:vertAlign w:val="superscript"/>
    </w:rPr>
  </w:style>
  <w:style w:type="paragraph" w:styleId="Prrafodelista">
    <w:name w:val="List Paragraph"/>
    <w:basedOn w:val="Normal"/>
    <w:uiPriority w:val="34"/>
    <w:qFormat/>
    <w:rsid w:val="006D5EB6"/>
    <w:pPr>
      <w:ind w:left="720"/>
      <w:contextualSpacing/>
    </w:pPr>
    <w:rPr>
      <w:lang w:val="es-ES"/>
    </w:rPr>
  </w:style>
  <w:style w:type="character" w:styleId="Hipervnculo">
    <w:name w:val="Hyperlink"/>
    <w:basedOn w:val="Fuentedeprrafopredeter"/>
    <w:uiPriority w:val="99"/>
    <w:unhideWhenUsed/>
    <w:rsid w:val="006D5EB6"/>
    <w:rPr>
      <w:color w:val="0248B0"/>
      <w:u w:val="single"/>
    </w:rPr>
  </w:style>
  <w:style w:type="character" w:customStyle="1" w:styleId="apple-converted-space">
    <w:name w:val="apple-converted-space"/>
    <w:basedOn w:val="Fuentedeprrafopredeter"/>
    <w:rsid w:val="006D5EB6"/>
  </w:style>
  <w:style w:type="character" w:styleId="Textoennegrita">
    <w:name w:val="Strong"/>
    <w:basedOn w:val="Fuentedeprrafopredeter"/>
    <w:uiPriority w:val="22"/>
    <w:qFormat/>
    <w:rsid w:val="006D5EB6"/>
    <w:rPr>
      <w:b/>
      <w:bCs/>
    </w:rPr>
  </w:style>
  <w:style w:type="paragraph" w:customStyle="1" w:styleId="Prrafodelista1">
    <w:name w:val="Párrafo de lista1"/>
    <w:basedOn w:val="Normal"/>
    <w:link w:val="ListParagraphChar"/>
    <w:qFormat/>
    <w:rsid w:val="006D5EB6"/>
    <w:pPr>
      <w:ind w:left="720"/>
    </w:pPr>
    <w:rPr>
      <w:rFonts w:ascii="Calibri" w:eastAsia="Calibri" w:hAnsi="Calibri" w:cs="Calibri"/>
      <w:lang w:val="en-US"/>
    </w:rPr>
  </w:style>
  <w:style w:type="paragraph" w:styleId="Textoindependiente">
    <w:name w:val="Body Text"/>
    <w:basedOn w:val="Normal"/>
    <w:link w:val="TextoindependienteCar"/>
    <w:semiHidden/>
    <w:rsid w:val="006D5EB6"/>
    <w:pPr>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semiHidden/>
    <w:rsid w:val="006D5EB6"/>
    <w:rPr>
      <w:rFonts w:ascii="Times New Roman" w:eastAsia="Times New Roman" w:hAnsi="Times New Roman" w:cs="Times New Roman"/>
      <w:sz w:val="24"/>
      <w:szCs w:val="20"/>
      <w:lang w:val="es-ES" w:eastAsia="es-ES"/>
    </w:rPr>
  </w:style>
  <w:style w:type="character" w:customStyle="1" w:styleId="ListParagraphChar">
    <w:name w:val="List Paragraph Char"/>
    <w:link w:val="Prrafodelista1"/>
    <w:locked/>
    <w:rsid w:val="006D5EB6"/>
    <w:rPr>
      <w:rFonts w:ascii="Calibri" w:eastAsia="Calibri" w:hAnsi="Calibri" w:cs="Calibri"/>
      <w:lang w:val="en-US"/>
    </w:rPr>
  </w:style>
  <w:style w:type="character" w:customStyle="1" w:styleId="apple-style-span">
    <w:name w:val="apple-style-span"/>
    <w:basedOn w:val="Fuentedeprrafopredeter"/>
    <w:rsid w:val="006D5EB6"/>
  </w:style>
  <w:style w:type="paragraph" w:styleId="Bibliografa">
    <w:name w:val="Bibliography"/>
    <w:basedOn w:val="Normal"/>
    <w:next w:val="Normal"/>
    <w:uiPriority w:val="37"/>
    <w:unhideWhenUsed/>
    <w:rsid w:val="006D5EB6"/>
  </w:style>
  <w:style w:type="paragraph" w:customStyle="1" w:styleId="Predeterminado">
    <w:name w:val="Predeterminado"/>
    <w:rsid w:val="006D5EB6"/>
    <w:pPr>
      <w:widowControl w:val="0"/>
      <w:tabs>
        <w:tab w:val="left" w:pos="708"/>
      </w:tabs>
      <w:suppressAutoHyphens/>
    </w:pPr>
    <w:rPr>
      <w:rFonts w:ascii="Calibri" w:eastAsia="Droid Sans Fallback" w:hAnsi="Calibri" w:cs="Calibri"/>
      <w:lang w:val="en-US"/>
    </w:rPr>
  </w:style>
  <w:style w:type="paragraph" w:customStyle="1" w:styleId="Default">
    <w:name w:val="Default"/>
    <w:rsid w:val="006D5EB6"/>
    <w:pPr>
      <w:autoSpaceDE w:val="0"/>
      <w:autoSpaceDN w:val="0"/>
      <w:adjustRightInd w:val="0"/>
      <w:spacing w:after="0" w:line="240" w:lineRule="auto"/>
    </w:pPr>
    <w:rPr>
      <w:rFonts w:ascii="Times New Roman" w:eastAsiaTheme="minorEastAsia" w:hAnsi="Times New Roman" w:cs="Times New Roman"/>
      <w:color w:val="000000"/>
      <w:sz w:val="24"/>
      <w:szCs w:val="24"/>
      <w:lang w:eastAsia="es-EC"/>
    </w:rPr>
  </w:style>
  <w:style w:type="character" w:styleId="nfasis">
    <w:name w:val="Emphasis"/>
    <w:basedOn w:val="Fuentedeprrafopredeter"/>
    <w:uiPriority w:val="20"/>
    <w:qFormat/>
    <w:rsid w:val="006D5EB6"/>
    <w:rPr>
      <w:i/>
      <w:iCs/>
    </w:rPr>
  </w:style>
  <w:style w:type="paragraph" w:customStyle="1" w:styleId="intro">
    <w:name w:val="intro"/>
    <w:basedOn w:val="Normal"/>
    <w:rsid w:val="006D5EB6"/>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concuadrcula">
    <w:name w:val="Table Grid"/>
    <w:basedOn w:val="Tablanormal"/>
    <w:uiPriority w:val="59"/>
    <w:rsid w:val="006D5E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inespaciadoCar">
    <w:name w:val="Sin espaciado Car"/>
    <w:basedOn w:val="Fuentedeprrafopredeter"/>
    <w:link w:val="Sinespaciado"/>
    <w:uiPriority w:val="1"/>
    <w:rsid w:val="006D5EB6"/>
    <w:rPr>
      <w:rFonts w:eastAsiaTheme="minorEastAsia"/>
      <w:lang w:val="es-ES" w:eastAsia="es-EC"/>
    </w:rPr>
  </w:style>
  <w:style w:type="character" w:customStyle="1" w:styleId="hps">
    <w:name w:val="hps"/>
    <w:basedOn w:val="Fuentedeprrafopredeter"/>
    <w:rsid w:val="006D5EB6"/>
  </w:style>
  <w:style w:type="character" w:customStyle="1" w:styleId="longtext">
    <w:name w:val="long_text"/>
    <w:basedOn w:val="Fuentedeprrafopredeter"/>
    <w:rsid w:val="006D5EB6"/>
  </w:style>
  <w:style w:type="paragraph" w:styleId="Encabezado">
    <w:name w:val="header"/>
    <w:basedOn w:val="Normal"/>
    <w:link w:val="EncabezadoCar"/>
    <w:uiPriority w:val="99"/>
    <w:unhideWhenUsed/>
    <w:rsid w:val="006D5EB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D5EB6"/>
  </w:style>
  <w:style w:type="paragraph" w:styleId="Piedepgina">
    <w:name w:val="footer"/>
    <w:basedOn w:val="Normal"/>
    <w:link w:val="PiedepginaCar"/>
    <w:uiPriority w:val="99"/>
    <w:unhideWhenUsed/>
    <w:rsid w:val="006D5EB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D5EB6"/>
  </w:style>
  <w:style w:type="table" w:styleId="Sombreadomedio1-nfasis4">
    <w:name w:val="Medium Shading 1 Accent 4"/>
    <w:basedOn w:val="Tablanormal"/>
    <w:uiPriority w:val="63"/>
    <w:rsid w:val="006D5EB6"/>
    <w:pPr>
      <w:spacing w:after="0" w:line="240" w:lineRule="auto"/>
    </w:pPr>
    <w:tblPr>
      <w:tblStyleRowBandSize w:val="1"/>
      <w:tblStyleColBandSize w:val="1"/>
      <w:tblInd w:w="0" w:type="dxa"/>
      <w:tblBorders>
        <w:top w:val="single" w:sz="8" w:space="0" w:color="37EFBD" w:themeColor="accent4" w:themeTint="BF"/>
        <w:left w:val="single" w:sz="8" w:space="0" w:color="37EFBD" w:themeColor="accent4" w:themeTint="BF"/>
        <w:bottom w:val="single" w:sz="8" w:space="0" w:color="37EFBD" w:themeColor="accent4" w:themeTint="BF"/>
        <w:right w:val="single" w:sz="8" w:space="0" w:color="37EFBD" w:themeColor="accent4" w:themeTint="BF"/>
        <w:insideH w:val="single" w:sz="8" w:space="0" w:color="37EFBD"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37EFBD" w:themeColor="accent4" w:themeTint="BF"/>
          <w:left w:val="single" w:sz="8" w:space="0" w:color="37EFBD" w:themeColor="accent4" w:themeTint="BF"/>
          <w:bottom w:val="single" w:sz="8" w:space="0" w:color="37EFBD" w:themeColor="accent4" w:themeTint="BF"/>
          <w:right w:val="single" w:sz="8" w:space="0" w:color="37EFBD" w:themeColor="accent4" w:themeTint="BF"/>
          <w:insideH w:val="nil"/>
          <w:insideV w:val="nil"/>
        </w:tcBorders>
        <w:shd w:val="clear" w:color="auto" w:fill="10CF9B" w:themeFill="accent4"/>
      </w:tcPr>
    </w:tblStylePr>
    <w:tblStylePr w:type="lastRow">
      <w:pPr>
        <w:spacing w:before="0" w:after="0" w:line="240" w:lineRule="auto"/>
      </w:pPr>
      <w:rPr>
        <w:b/>
        <w:bCs/>
      </w:rPr>
      <w:tblPr/>
      <w:tcPr>
        <w:tcBorders>
          <w:top w:val="double" w:sz="6" w:space="0" w:color="37EFBD" w:themeColor="accent4" w:themeTint="BF"/>
          <w:left w:val="single" w:sz="8" w:space="0" w:color="37EFBD" w:themeColor="accent4" w:themeTint="BF"/>
          <w:bottom w:val="single" w:sz="8" w:space="0" w:color="37EFBD" w:themeColor="accent4" w:themeTint="BF"/>
          <w:right w:val="single" w:sz="8" w:space="0" w:color="37EFBD" w:themeColor="accent4" w:themeTint="BF"/>
          <w:insideH w:val="nil"/>
          <w:insideV w:val="nil"/>
        </w:tcBorders>
      </w:tcPr>
    </w:tblStylePr>
    <w:tblStylePr w:type="firstCol">
      <w:rPr>
        <w:b/>
        <w:bCs/>
      </w:rPr>
    </w:tblStylePr>
    <w:tblStylePr w:type="lastCol">
      <w:rPr>
        <w:b/>
        <w:bCs/>
      </w:rPr>
    </w:tblStylePr>
    <w:tblStylePr w:type="band1Vert">
      <w:tblPr/>
      <w:tcPr>
        <w:shd w:val="clear" w:color="auto" w:fill="BDFAE9" w:themeFill="accent4" w:themeFillTint="3F"/>
      </w:tcPr>
    </w:tblStylePr>
    <w:tblStylePr w:type="band1Horz">
      <w:tblPr/>
      <w:tcPr>
        <w:tcBorders>
          <w:insideH w:val="nil"/>
          <w:insideV w:val="nil"/>
        </w:tcBorders>
        <w:shd w:val="clear" w:color="auto" w:fill="BDFAE9" w:themeFill="accent4" w:themeFillTint="3F"/>
      </w:tcPr>
    </w:tblStylePr>
    <w:tblStylePr w:type="band2Horz">
      <w:tblPr/>
      <w:tcPr>
        <w:tcBorders>
          <w:insideH w:val="nil"/>
          <w:insideV w:val="nil"/>
        </w:tcBorders>
      </w:tcPr>
    </w:tblStylePr>
  </w:style>
  <w:style w:type="table" w:styleId="Sombreadoclaro-nfasis5">
    <w:name w:val="Light Shading Accent 5"/>
    <w:basedOn w:val="Tablanormal"/>
    <w:uiPriority w:val="60"/>
    <w:rsid w:val="006D5EB6"/>
    <w:pPr>
      <w:spacing w:after="0" w:line="240" w:lineRule="auto"/>
    </w:pPr>
    <w:rPr>
      <w:color w:val="54A738" w:themeColor="accent5" w:themeShade="BF"/>
    </w:rPr>
    <w:tblPr>
      <w:tblStyleRowBandSize w:val="1"/>
      <w:tblStyleColBandSize w:val="1"/>
      <w:tblInd w:w="0" w:type="dxa"/>
      <w:tblBorders>
        <w:top w:val="single" w:sz="8" w:space="0" w:color="7CCA62" w:themeColor="accent5"/>
        <w:bottom w:val="single" w:sz="8" w:space="0" w:color="7CCA62"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CCA62" w:themeColor="accent5"/>
          <w:left w:val="nil"/>
          <w:bottom w:val="single" w:sz="8" w:space="0" w:color="7CCA62" w:themeColor="accent5"/>
          <w:right w:val="nil"/>
          <w:insideH w:val="nil"/>
          <w:insideV w:val="nil"/>
        </w:tcBorders>
      </w:tcPr>
    </w:tblStylePr>
    <w:tblStylePr w:type="lastRow">
      <w:pPr>
        <w:spacing w:before="0" w:after="0" w:line="240" w:lineRule="auto"/>
      </w:pPr>
      <w:rPr>
        <w:b/>
        <w:bCs/>
      </w:rPr>
      <w:tblPr/>
      <w:tcPr>
        <w:tcBorders>
          <w:top w:val="single" w:sz="8" w:space="0" w:color="7CCA62" w:themeColor="accent5"/>
          <w:left w:val="nil"/>
          <w:bottom w:val="single" w:sz="8" w:space="0" w:color="7CCA6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EF2D8" w:themeFill="accent5" w:themeFillTint="3F"/>
      </w:tcPr>
    </w:tblStylePr>
    <w:tblStylePr w:type="band1Horz">
      <w:tblPr/>
      <w:tcPr>
        <w:tcBorders>
          <w:left w:val="nil"/>
          <w:right w:val="nil"/>
          <w:insideH w:val="nil"/>
          <w:insideV w:val="nil"/>
        </w:tcBorders>
        <w:shd w:val="clear" w:color="auto" w:fill="DEF2D8" w:themeFill="accent5" w:themeFillTint="3F"/>
      </w:tcPr>
    </w:tblStylePr>
  </w:style>
  <w:style w:type="table" w:styleId="Cuadrculaclara-nfasis4">
    <w:name w:val="Light Grid Accent 4"/>
    <w:basedOn w:val="Tablanormal"/>
    <w:uiPriority w:val="62"/>
    <w:rsid w:val="006D5EB6"/>
    <w:pPr>
      <w:spacing w:after="0" w:line="240" w:lineRule="auto"/>
    </w:pPr>
    <w:tblPr>
      <w:tblStyleRowBandSize w:val="1"/>
      <w:tblStyleColBandSize w:val="1"/>
      <w:tblInd w:w="0" w:type="dxa"/>
      <w:tblBorders>
        <w:top w:val="single" w:sz="8" w:space="0" w:color="10CF9B" w:themeColor="accent4"/>
        <w:left w:val="single" w:sz="8" w:space="0" w:color="10CF9B" w:themeColor="accent4"/>
        <w:bottom w:val="single" w:sz="8" w:space="0" w:color="10CF9B" w:themeColor="accent4"/>
        <w:right w:val="single" w:sz="8" w:space="0" w:color="10CF9B" w:themeColor="accent4"/>
        <w:insideH w:val="single" w:sz="8" w:space="0" w:color="10CF9B" w:themeColor="accent4"/>
        <w:insideV w:val="single" w:sz="8" w:space="0" w:color="10CF9B"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10CF9B" w:themeColor="accent4"/>
          <w:left w:val="single" w:sz="8" w:space="0" w:color="10CF9B" w:themeColor="accent4"/>
          <w:bottom w:val="single" w:sz="18" w:space="0" w:color="10CF9B" w:themeColor="accent4"/>
          <w:right w:val="single" w:sz="8" w:space="0" w:color="10CF9B" w:themeColor="accent4"/>
          <w:insideH w:val="nil"/>
          <w:insideV w:val="single" w:sz="8" w:space="0" w:color="10CF9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0CF9B" w:themeColor="accent4"/>
          <w:left w:val="single" w:sz="8" w:space="0" w:color="10CF9B" w:themeColor="accent4"/>
          <w:bottom w:val="single" w:sz="8" w:space="0" w:color="10CF9B" w:themeColor="accent4"/>
          <w:right w:val="single" w:sz="8" w:space="0" w:color="10CF9B" w:themeColor="accent4"/>
          <w:insideH w:val="nil"/>
          <w:insideV w:val="single" w:sz="8" w:space="0" w:color="10CF9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0CF9B" w:themeColor="accent4"/>
          <w:left w:val="single" w:sz="8" w:space="0" w:color="10CF9B" w:themeColor="accent4"/>
          <w:bottom w:val="single" w:sz="8" w:space="0" w:color="10CF9B" w:themeColor="accent4"/>
          <w:right w:val="single" w:sz="8" w:space="0" w:color="10CF9B" w:themeColor="accent4"/>
        </w:tcBorders>
      </w:tcPr>
    </w:tblStylePr>
    <w:tblStylePr w:type="band1Vert">
      <w:tblPr/>
      <w:tcPr>
        <w:tcBorders>
          <w:top w:val="single" w:sz="8" w:space="0" w:color="10CF9B" w:themeColor="accent4"/>
          <w:left w:val="single" w:sz="8" w:space="0" w:color="10CF9B" w:themeColor="accent4"/>
          <w:bottom w:val="single" w:sz="8" w:space="0" w:color="10CF9B" w:themeColor="accent4"/>
          <w:right w:val="single" w:sz="8" w:space="0" w:color="10CF9B" w:themeColor="accent4"/>
        </w:tcBorders>
        <w:shd w:val="clear" w:color="auto" w:fill="BDFAE9" w:themeFill="accent4" w:themeFillTint="3F"/>
      </w:tcPr>
    </w:tblStylePr>
    <w:tblStylePr w:type="band1Horz">
      <w:tblPr/>
      <w:tcPr>
        <w:tcBorders>
          <w:top w:val="single" w:sz="8" w:space="0" w:color="10CF9B" w:themeColor="accent4"/>
          <w:left w:val="single" w:sz="8" w:space="0" w:color="10CF9B" w:themeColor="accent4"/>
          <w:bottom w:val="single" w:sz="8" w:space="0" w:color="10CF9B" w:themeColor="accent4"/>
          <w:right w:val="single" w:sz="8" w:space="0" w:color="10CF9B" w:themeColor="accent4"/>
          <w:insideV w:val="single" w:sz="8" w:space="0" w:color="10CF9B" w:themeColor="accent4"/>
        </w:tcBorders>
        <w:shd w:val="clear" w:color="auto" w:fill="BDFAE9" w:themeFill="accent4" w:themeFillTint="3F"/>
      </w:tcPr>
    </w:tblStylePr>
    <w:tblStylePr w:type="band2Horz">
      <w:tblPr/>
      <w:tcPr>
        <w:tcBorders>
          <w:top w:val="single" w:sz="8" w:space="0" w:color="10CF9B" w:themeColor="accent4"/>
          <w:left w:val="single" w:sz="8" w:space="0" w:color="10CF9B" w:themeColor="accent4"/>
          <w:bottom w:val="single" w:sz="8" w:space="0" w:color="10CF9B" w:themeColor="accent4"/>
          <w:right w:val="single" w:sz="8" w:space="0" w:color="10CF9B" w:themeColor="accent4"/>
          <w:insideV w:val="single" w:sz="8" w:space="0" w:color="10CF9B" w:themeColor="accent4"/>
        </w:tcBorders>
      </w:tcPr>
    </w:tblStylePr>
  </w:style>
  <w:style w:type="numbering" w:customStyle="1" w:styleId="Sinlista1">
    <w:name w:val="Sin lista1"/>
    <w:next w:val="Sinlista"/>
    <w:uiPriority w:val="99"/>
    <w:semiHidden/>
    <w:unhideWhenUsed/>
    <w:rsid w:val="006D5EB6"/>
  </w:style>
  <w:style w:type="character" w:customStyle="1" w:styleId="ListLabel1">
    <w:name w:val="ListLabel 1"/>
    <w:rsid w:val="006D5EB6"/>
    <w:rPr>
      <w:rFonts w:cs="Courier New"/>
    </w:rPr>
  </w:style>
  <w:style w:type="character" w:customStyle="1" w:styleId="ListLabel2">
    <w:name w:val="ListLabel 2"/>
    <w:rsid w:val="006D5EB6"/>
    <w:rPr>
      <w:color w:val="00000A"/>
    </w:rPr>
  </w:style>
  <w:style w:type="character" w:customStyle="1" w:styleId="ListLabel3">
    <w:name w:val="ListLabel 3"/>
    <w:rsid w:val="006D5EB6"/>
    <w:rPr>
      <w:b/>
    </w:rPr>
  </w:style>
  <w:style w:type="character" w:customStyle="1" w:styleId="NumberingSymbols">
    <w:name w:val="Numbering Symbols"/>
    <w:rsid w:val="006D5EB6"/>
  </w:style>
  <w:style w:type="paragraph" w:customStyle="1" w:styleId="Heading">
    <w:name w:val="Heading"/>
    <w:basedOn w:val="Normal"/>
    <w:next w:val="Textbody"/>
    <w:rsid w:val="006D5EB6"/>
    <w:pPr>
      <w:keepNext/>
      <w:tabs>
        <w:tab w:val="left" w:pos="708"/>
      </w:tabs>
      <w:suppressAutoHyphens/>
      <w:spacing w:before="240" w:after="120"/>
    </w:pPr>
    <w:rPr>
      <w:rFonts w:ascii="Liberation Sans" w:eastAsia="WenQuanYi Micro Hei" w:hAnsi="Liberation Sans" w:cs="Lohit Hindi"/>
      <w:sz w:val="28"/>
      <w:szCs w:val="28"/>
      <w:lang w:val="es-ES"/>
    </w:rPr>
  </w:style>
  <w:style w:type="paragraph" w:customStyle="1" w:styleId="Textbody">
    <w:name w:val="Text body"/>
    <w:basedOn w:val="Normal"/>
    <w:rsid w:val="006D5EB6"/>
    <w:pPr>
      <w:tabs>
        <w:tab w:val="left" w:pos="708"/>
      </w:tabs>
      <w:suppressAutoHyphens/>
      <w:spacing w:after="120"/>
    </w:pPr>
    <w:rPr>
      <w:rFonts w:ascii="Calibri" w:eastAsia="WenQuanYi Micro Hei" w:hAnsi="Calibri" w:cs="Calibri"/>
      <w:lang w:val="es-ES"/>
    </w:rPr>
  </w:style>
  <w:style w:type="paragraph" w:styleId="Lista">
    <w:name w:val="List"/>
    <w:basedOn w:val="Textbody"/>
    <w:rsid w:val="006D5EB6"/>
    <w:rPr>
      <w:rFonts w:cs="Lohit Hindi"/>
    </w:rPr>
  </w:style>
  <w:style w:type="paragraph" w:customStyle="1" w:styleId="Epgrafe1">
    <w:name w:val="Epígrafe1"/>
    <w:basedOn w:val="Normal"/>
    <w:rsid w:val="006D5EB6"/>
    <w:pPr>
      <w:suppressLineNumbers/>
      <w:tabs>
        <w:tab w:val="left" w:pos="708"/>
      </w:tabs>
      <w:suppressAutoHyphens/>
      <w:spacing w:before="120" w:after="120"/>
    </w:pPr>
    <w:rPr>
      <w:rFonts w:ascii="Calibri" w:eastAsia="WenQuanYi Micro Hei" w:hAnsi="Calibri" w:cs="Lohit Hindi"/>
      <w:i/>
      <w:iCs/>
      <w:sz w:val="24"/>
      <w:szCs w:val="24"/>
      <w:lang w:val="es-ES"/>
    </w:rPr>
  </w:style>
  <w:style w:type="paragraph" w:customStyle="1" w:styleId="Index">
    <w:name w:val="Index"/>
    <w:basedOn w:val="Normal"/>
    <w:rsid w:val="006D5EB6"/>
    <w:pPr>
      <w:suppressLineNumbers/>
      <w:tabs>
        <w:tab w:val="left" w:pos="708"/>
      </w:tabs>
      <w:suppressAutoHyphens/>
    </w:pPr>
    <w:rPr>
      <w:rFonts w:ascii="Calibri" w:eastAsia="WenQuanYi Micro Hei" w:hAnsi="Calibri" w:cs="Lohit Hindi"/>
      <w:lang w:val="es-ES"/>
    </w:rPr>
  </w:style>
  <w:style w:type="paragraph" w:customStyle="1" w:styleId="Encabezado1">
    <w:name w:val="Encabezado1"/>
    <w:basedOn w:val="Normal"/>
    <w:rsid w:val="006D5EB6"/>
    <w:pPr>
      <w:suppressLineNumbers/>
      <w:tabs>
        <w:tab w:val="left" w:pos="708"/>
        <w:tab w:val="center" w:pos="4419"/>
        <w:tab w:val="right" w:pos="8838"/>
      </w:tabs>
      <w:suppressAutoHyphens/>
      <w:spacing w:after="0" w:line="100" w:lineRule="atLeast"/>
    </w:pPr>
    <w:rPr>
      <w:rFonts w:ascii="Calibri" w:eastAsia="WenQuanYi Micro Hei" w:hAnsi="Calibri" w:cs="Calibri"/>
      <w:lang w:val="es-ES"/>
    </w:rPr>
  </w:style>
  <w:style w:type="paragraph" w:customStyle="1" w:styleId="Piedepgina1">
    <w:name w:val="Pie de página1"/>
    <w:basedOn w:val="Normal"/>
    <w:rsid w:val="006D5EB6"/>
    <w:pPr>
      <w:suppressLineNumbers/>
      <w:tabs>
        <w:tab w:val="left" w:pos="708"/>
        <w:tab w:val="center" w:pos="4419"/>
        <w:tab w:val="right" w:pos="8838"/>
      </w:tabs>
      <w:suppressAutoHyphens/>
      <w:spacing w:after="0" w:line="100" w:lineRule="atLeast"/>
    </w:pPr>
    <w:rPr>
      <w:rFonts w:ascii="Calibri" w:eastAsia="WenQuanYi Micro Hei" w:hAnsi="Calibri" w:cs="Calibri"/>
      <w:lang w:val="es-ES"/>
    </w:rPr>
  </w:style>
  <w:style w:type="table" w:customStyle="1" w:styleId="Cuadrculaclara-nfasis41">
    <w:name w:val="Cuadrícula clara - Énfasis 41"/>
    <w:basedOn w:val="Tablanormal"/>
    <w:next w:val="Cuadrculaclara-nfasis4"/>
    <w:uiPriority w:val="62"/>
    <w:rsid w:val="006D5EB6"/>
    <w:pPr>
      <w:spacing w:after="0" w:line="240" w:lineRule="auto"/>
    </w:pPr>
    <w:rPr>
      <w:rFonts w:eastAsia="Times New Roman"/>
      <w:lang w:eastAsia="es-EC"/>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Sombreadomedio1-nfasis41">
    <w:name w:val="Sombreado medio 1 - Énfasis 41"/>
    <w:basedOn w:val="Tablanormal"/>
    <w:next w:val="Sombreadomedio1-nfasis4"/>
    <w:uiPriority w:val="63"/>
    <w:rsid w:val="006D5EB6"/>
    <w:pPr>
      <w:spacing w:after="0" w:line="240" w:lineRule="auto"/>
    </w:pPr>
    <w:rPr>
      <w:rFonts w:eastAsia="Times New Roman"/>
      <w:lang w:eastAsia="es-EC"/>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staclara-nfasis41">
    <w:name w:val="Lista clara - Énfasis 41"/>
    <w:basedOn w:val="Tablanormal"/>
    <w:next w:val="Listaclara-nfasis4"/>
    <w:uiPriority w:val="61"/>
    <w:rsid w:val="006D5EB6"/>
    <w:pPr>
      <w:spacing w:after="0" w:line="240" w:lineRule="auto"/>
    </w:pPr>
    <w:rPr>
      <w:rFonts w:eastAsia="Times New Roman"/>
      <w:lang w:eastAsia="es-EC"/>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Sombreadomedio2-nfasis41">
    <w:name w:val="Sombreado medio 2 - Énfasis 41"/>
    <w:basedOn w:val="Tablanormal"/>
    <w:next w:val="Sombreadomedio2-nfasis4"/>
    <w:uiPriority w:val="64"/>
    <w:rsid w:val="006D5EB6"/>
    <w:pPr>
      <w:spacing w:after="0" w:line="240" w:lineRule="auto"/>
    </w:pPr>
    <w:rPr>
      <w:rFonts w:eastAsia="Times New Roman"/>
      <w:lang w:eastAsia="es-EC"/>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amedia2-nfasis41">
    <w:name w:val="Lista media 2 - Énfasis 41"/>
    <w:basedOn w:val="Tablanormal"/>
    <w:next w:val="Listamedia2-nfasis4"/>
    <w:uiPriority w:val="66"/>
    <w:rsid w:val="006D5EB6"/>
    <w:pPr>
      <w:spacing w:after="0" w:line="240" w:lineRule="auto"/>
    </w:pPr>
    <w:rPr>
      <w:rFonts w:ascii="Cambria" w:eastAsia="Times New Roman" w:hAnsi="Cambria" w:cs="Times New Roman"/>
      <w:color w:val="000000"/>
      <w:lang w:eastAsia="es-EC"/>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Sombreadoclaro-nfasis41">
    <w:name w:val="Sombreado claro - Énfasis 41"/>
    <w:basedOn w:val="Tablanormal"/>
    <w:next w:val="Sombreadoclaro-nfasis4"/>
    <w:uiPriority w:val="60"/>
    <w:rsid w:val="006D5EB6"/>
    <w:pPr>
      <w:spacing w:after="0" w:line="240" w:lineRule="auto"/>
    </w:pPr>
    <w:rPr>
      <w:rFonts w:eastAsia="Times New Roman"/>
      <w:color w:val="5F497A"/>
      <w:lang w:eastAsia="es-EC"/>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Cuadrculaclara-nfasis11">
    <w:name w:val="Cuadrícula clara - Énfasis 11"/>
    <w:basedOn w:val="Tablanormal"/>
    <w:next w:val="Cuadrculaclara-nfasis12"/>
    <w:uiPriority w:val="62"/>
    <w:rsid w:val="006D5EB6"/>
    <w:pPr>
      <w:spacing w:after="0" w:line="240" w:lineRule="auto"/>
    </w:pPr>
    <w:rPr>
      <w:rFonts w:eastAsia="Times New Roman"/>
      <w:lang w:eastAsia="es-EC"/>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Cuadrculaclara-nfasis61">
    <w:name w:val="Cuadrícula clara - Énfasis 61"/>
    <w:basedOn w:val="Tablanormal"/>
    <w:next w:val="Cuadrculaclara-nfasis6"/>
    <w:uiPriority w:val="62"/>
    <w:rsid w:val="006D5EB6"/>
    <w:pPr>
      <w:spacing w:after="0" w:line="240" w:lineRule="auto"/>
    </w:pPr>
    <w:rPr>
      <w:rFonts w:eastAsia="Times New Roman"/>
      <w:lang w:eastAsia="es-EC"/>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Cuadrculaclara-nfasis31">
    <w:name w:val="Cuadrícula clara - Énfasis 31"/>
    <w:basedOn w:val="Tablanormal"/>
    <w:next w:val="Cuadrculaclara-nfasis3"/>
    <w:uiPriority w:val="62"/>
    <w:rsid w:val="006D5EB6"/>
    <w:pPr>
      <w:spacing w:after="0" w:line="240" w:lineRule="auto"/>
    </w:pPr>
    <w:rPr>
      <w:rFonts w:eastAsia="Times New Roman"/>
      <w:lang w:eastAsia="es-EC"/>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Cuadrculaclara-nfasis51">
    <w:name w:val="Cuadrícula clara - Énfasis 51"/>
    <w:basedOn w:val="Tablanormal"/>
    <w:next w:val="Cuadrculaclara-nfasis5"/>
    <w:uiPriority w:val="62"/>
    <w:rsid w:val="006D5EB6"/>
    <w:pPr>
      <w:spacing w:after="0" w:line="240" w:lineRule="auto"/>
    </w:pPr>
    <w:rPr>
      <w:rFonts w:eastAsia="Times New Roman"/>
      <w:lang w:eastAsia="es-EC"/>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Cuadrculaclara-nfasis21">
    <w:name w:val="Cuadrícula clara - Énfasis 21"/>
    <w:basedOn w:val="Tablanormal"/>
    <w:next w:val="Cuadrculaclara-nfasis2"/>
    <w:uiPriority w:val="62"/>
    <w:rsid w:val="006D5EB6"/>
    <w:pPr>
      <w:spacing w:after="0" w:line="240" w:lineRule="auto"/>
    </w:pPr>
    <w:rPr>
      <w:rFonts w:eastAsia="Times New Roman"/>
      <w:lang w:eastAsia="es-EC"/>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Tablaconcuadrcula1">
    <w:name w:val="Tabla con cuadrícula1"/>
    <w:basedOn w:val="Tablanormal"/>
    <w:next w:val="Tablaconcuadrcula"/>
    <w:uiPriority w:val="59"/>
    <w:rsid w:val="006D5EB6"/>
    <w:pPr>
      <w:spacing w:after="0" w:line="240" w:lineRule="auto"/>
    </w:pPr>
    <w:rPr>
      <w:rFonts w:eastAsia="Times New Roman"/>
      <w:lang w:eastAsia="es-E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domedio2-nfasis11">
    <w:name w:val="Sombreado medio 2 - Énfasis 11"/>
    <w:basedOn w:val="Tablanormal"/>
    <w:next w:val="Sombreadomedio2-nfasis12"/>
    <w:uiPriority w:val="64"/>
    <w:rsid w:val="006D5EB6"/>
    <w:pPr>
      <w:spacing w:after="0" w:line="240" w:lineRule="auto"/>
    </w:pPr>
    <w:rPr>
      <w:rFonts w:eastAsia="Times New Roman"/>
      <w:lang w:eastAsia="es-EC"/>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aclara-nfasis51">
    <w:name w:val="Lista clara - Énfasis 51"/>
    <w:basedOn w:val="Tablanormal"/>
    <w:next w:val="Listaclara-nfasis5"/>
    <w:uiPriority w:val="61"/>
    <w:rsid w:val="006D5EB6"/>
    <w:pPr>
      <w:spacing w:after="0" w:line="240" w:lineRule="auto"/>
    </w:pPr>
    <w:rPr>
      <w:rFonts w:eastAsia="Times New Roman"/>
      <w:lang w:eastAsia="es-EC"/>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amedia1-nfasis41">
    <w:name w:val="Lista media 1 - Énfasis 41"/>
    <w:basedOn w:val="Tablanormal"/>
    <w:next w:val="Listamedia1-nfasis4"/>
    <w:uiPriority w:val="65"/>
    <w:rsid w:val="006D5EB6"/>
    <w:pPr>
      <w:spacing w:after="0" w:line="240" w:lineRule="auto"/>
    </w:pPr>
    <w:rPr>
      <w:rFonts w:eastAsia="Times New Roman"/>
      <w:color w:val="000000"/>
      <w:lang w:eastAsia="es-EC"/>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Sombreadoclaro-nfasis51">
    <w:name w:val="Sombreado claro - Énfasis 51"/>
    <w:basedOn w:val="Tablanormal"/>
    <w:next w:val="Sombreadoclaro-nfasis5"/>
    <w:uiPriority w:val="60"/>
    <w:rsid w:val="006D5EB6"/>
    <w:pPr>
      <w:spacing w:after="0" w:line="240" w:lineRule="auto"/>
    </w:pPr>
    <w:rPr>
      <w:rFonts w:eastAsia="Times New Roman"/>
      <w:color w:val="31849B"/>
      <w:lang w:eastAsia="es-EC"/>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aconcuadrcula11">
    <w:name w:val="Tabla con cuadrícula11"/>
    <w:basedOn w:val="Tablanormal"/>
    <w:next w:val="Tablaconcuadrcula"/>
    <w:uiPriority w:val="59"/>
    <w:rsid w:val="006D5EB6"/>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Textodelmarcadordeposicin">
    <w:name w:val="Placeholder Text"/>
    <w:basedOn w:val="Fuentedeprrafopredeter"/>
    <w:uiPriority w:val="99"/>
    <w:semiHidden/>
    <w:rsid w:val="006D5EB6"/>
    <w:rPr>
      <w:color w:val="808080"/>
    </w:rPr>
  </w:style>
  <w:style w:type="table" w:styleId="Listaclara-nfasis4">
    <w:name w:val="Light List Accent 4"/>
    <w:basedOn w:val="Tablanormal"/>
    <w:uiPriority w:val="61"/>
    <w:rsid w:val="006D5EB6"/>
    <w:pPr>
      <w:spacing w:after="0" w:line="240" w:lineRule="auto"/>
    </w:pPr>
    <w:tblPr>
      <w:tblStyleRowBandSize w:val="1"/>
      <w:tblStyleColBandSize w:val="1"/>
      <w:tblInd w:w="0" w:type="dxa"/>
      <w:tblBorders>
        <w:top w:val="single" w:sz="8" w:space="0" w:color="10CF9B" w:themeColor="accent4"/>
        <w:left w:val="single" w:sz="8" w:space="0" w:color="10CF9B" w:themeColor="accent4"/>
        <w:bottom w:val="single" w:sz="8" w:space="0" w:color="10CF9B" w:themeColor="accent4"/>
        <w:right w:val="single" w:sz="8" w:space="0" w:color="10CF9B"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10CF9B" w:themeFill="accent4"/>
      </w:tcPr>
    </w:tblStylePr>
    <w:tblStylePr w:type="lastRow">
      <w:pPr>
        <w:spacing w:before="0" w:after="0" w:line="240" w:lineRule="auto"/>
      </w:pPr>
      <w:rPr>
        <w:b/>
        <w:bCs/>
      </w:rPr>
      <w:tblPr/>
      <w:tcPr>
        <w:tcBorders>
          <w:top w:val="double" w:sz="6" w:space="0" w:color="10CF9B" w:themeColor="accent4"/>
          <w:left w:val="single" w:sz="8" w:space="0" w:color="10CF9B" w:themeColor="accent4"/>
          <w:bottom w:val="single" w:sz="8" w:space="0" w:color="10CF9B" w:themeColor="accent4"/>
          <w:right w:val="single" w:sz="8" w:space="0" w:color="10CF9B" w:themeColor="accent4"/>
        </w:tcBorders>
      </w:tcPr>
    </w:tblStylePr>
    <w:tblStylePr w:type="firstCol">
      <w:rPr>
        <w:b/>
        <w:bCs/>
      </w:rPr>
    </w:tblStylePr>
    <w:tblStylePr w:type="lastCol">
      <w:rPr>
        <w:b/>
        <w:bCs/>
      </w:rPr>
    </w:tblStylePr>
    <w:tblStylePr w:type="band1Vert">
      <w:tblPr/>
      <w:tcPr>
        <w:tcBorders>
          <w:top w:val="single" w:sz="8" w:space="0" w:color="10CF9B" w:themeColor="accent4"/>
          <w:left w:val="single" w:sz="8" w:space="0" w:color="10CF9B" w:themeColor="accent4"/>
          <w:bottom w:val="single" w:sz="8" w:space="0" w:color="10CF9B" w:themeColor="accent4"/>
          <w:right w:val="single" w:sz="8" w:space="0" w:color="10CF9B" w:themeColor="accent4"/>
        </w:tcBorders>
      </w:tcPr>
    </w:tblStylePr>
    <w:tblStylePr w:type="band1Horz">
      <w:tblPr/>
      <w:tcPr>
        <w:tcBorders>
          <w:top w:val="single" w:sz="8" w:space="0" w:color="10CF9B" w:themeColor="accent4"/>
          <w:left w:val="single" w:sz="8" w:space="0" w:color="10CF9B" w:themeColor="accent4"/>
          <w:bottom w:val="single" w:sz="8" w:space="0" w:color="10CF9B" w:themeColor="accent4"/>
          <w:right w:val="single" w:sz="8" w:space="0" w:color="10CF9B" w:themeColor="accent4"/>
        </w:tcBorders>
      </w:tcPr>
    </w:tblStylePr>
  </w:style>
  <w:style w:type="table" w:styleId="Sombreadomedio2-nfasis4">
    <w:name w:val="Medium Shading 2 Accent 4"/>
    <w:basedOn w:val="Tablanormal"/>
    <w:uiPriority w:val="64"/>
    <w:rsid w:val="006D5EB6"/>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0CF9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0CF9B" w:themeFill="accent4"/>
      </w:tcPr>
    </w:tblStylePr>
    <w:tblStylePr w:type="lastCol">
      <w:rPr>
        <w:b/>
        <w:bCs/>
        <w:color w:val="FFFFFF" w:themeColor="background1"/>
      </w:rPr>
      <w:tblPr/>
      <w:tcPr>
        <w:tcBorders>
          <w:left w:val="nil"/>
          <w:right w:val="nil"/>
          <w:insideH w:val="nil"/>
          <w:insideV w:val="nil"/>
        </w:tcBorders>
        <w:shd w:val="clear" w:color="auto" w:fill="10CF9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2-nfasis4">
    <w:name w:val="Medium List 2 Accent 4"/>
    <w:basedOn w:val="Tablanormal"/>
    <w:uiPriority w:val="66"/>
    <w:rsid w:val="006D5EB6"/>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10CF9B" w:themeColor="accent4"/>
        <w:left w:val="single" w:sz="8" w:space="0" w:color="10CF9B" w:themeColor="accent4"/>
        <w:bottom w:val="single" w:sz="8" w:space="0" w:color="10CF9B" w:themeColor="accent4"/>
        <w:right w:val="single" w:sz="8" w:space="0" w:color="10CF9B"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10CF9B" w:themeColor="accent4"/>
          <w:right w:val="nil"/>
          <w:insideH w:val="nil"/>
          <w:insideV w:val="nil"/>
        </w:tcBorders>
        <w:shd w:val="clear" w:color="auto" w:fill="FFFFFF" w:themeFill="background1"/>
      </w:tcPr>
    </w:tblStylePr>
    <w:tblStylePr w:type="lastRow">
      <w:tblPr/>
      <w:tcPr>
        <w:tcBorders>
          <w:top w:val="single" w:sz="8" w:space="0" w:color="10CF9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0CF9B" w:themeColor="accent4"/>
          <w:insideH w:val="nil"/>
          <w:insideV w:val="nil"/>
        </w:tcBorders>
        <w:shd w:val="clear" w:color="auto" w:fill="FFFFFF" w:themeFill="background1"/>
      </w:tcPr>
    </w:tblStylePr>
    <w:tblStylePr w:type="lastCol">
      <w:tblPr/>
      <w:tcPr>
        <w:tcBorders>
          <w:top w:val="nil"/>
          <w:left w:val="single" w:sz="8" w:space="0" w:color="10CF9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DFAE9" w:themeFill="accent4" w:themeFillTint="3F"/>
      </w:tcPr>
    </w:tblStylePr>
    <w:tblStylePr w:type="band1Horz">
      <w:tblPr/>
      <w:tcPr>
        <w:tcBorders>
          <w:top w:val="nil"/>
          <w:bottom w:val="nil"/>
          <w:insideH w:val="nil"/>
          <w:insideV w:val="nil"/>
        </w:tcBorders>
        <w:shd w:val="clear" w:color="auto" w:fill="BDFAE9"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nfasis4">
    <w:name w:val="Light Shading Accent 4"/>
    <w:basedOn w:val="Tablanormal"/>
    <w:uiPriority w:val="60"/>
    <w:rsid w:val="006D5EB6"/>
    <w:pPr>
      <w:spacing w:after="0" w:line="240" w:lineRule="auto"/>
    </w:pPr>
    <w:rPr>
      <w:color w:val="0C9A73" w:themeColor="accent4" w:themeShade="BF"/>
    </w:rPr>
    <w:tblPr>
      <w:tblStyleRowBandSize w:val="1"/>
      <w:tblStyleColBandSize w:val="1"/>
      <w:tblInd w:w="0" w:type="dxa"/>
      <w:tblBorders>
        <w:top w:val="single" w:sz="8" w:space="0" w:color="10CF9B" w:themeColor="accent4"/>
        <w:bottom w:val="single" w:sz="8" w:space="0" w:color="10CF9B"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10CF9B" w:themeColor="accent4"/>
          <w:left w:val="nil"/>
          <w:bottom w:val="single" w:sz="8" w:space="0" w:color="10CF9B" w:themeColor="accent4"/>
          <w:right w:val="nil"/>
          <w:insideH w:val="nil"/>
          <w:insideV w:val="nil"/>
        </w:tcBorders>
      </w:tcPr>
    </w:tblStylePr>
    <w:tblStylePr w:type="lastRow">
      <w:pPr>
        <w:spacing w:before="0" w:after="0" w:line="240" w:lineRule="auto"/>
      </w:pPr>
      <w:rPr>
        <w:b/>
        <w:bCs/>
      </w:rPr>
      <w:tblPr/>
      <w:tcPr>
        <w:tcBorders>
          <w:top w:val="single" w:sz="8" w:space="0" w:color="10CF9B" w:themeColor="accent4"/>
          <w:left w:val="nil"/>
          <w:bottom w:val="single" w:sz="8" w:space="0" w:color="10CF9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FAE9" w:themeFill="accent4" w:themeFillTint="3F"/>
      </w:tcPr>
    </w:tblStylePr>
    <w:tblStylePr w:type="band1Horz">
      <w:tblPr/>
      <w:tcPr>
        <w:tcBorders>
          <w:left w:val="nil"/>
          <w:right w:val="nil"/>
          <w:insideH w:val="nil"/>
          <w:insideV w:val="nil"/>
        </w:tcBorders>
        <w:shd w:val="clear" w:color="auto" w:fill="BDFAE9" w:themeFill="accent4" w:themeFillTint="3F"/>
      </w:tcPr>
    </w:tblStylePr>
  </w:style>
  <w:style w:type="table" w:customStyle="1" w:styleId="Cuadrculaclara-nfasis12">
    <w:name w:val="Cuadrícula clara - Énfasis 12"/>
    <w:basedOn w:val="Tablanormal"/>
    <w:uiPriority w:val="62"/>
    <w:rsid w:val="006D5EB6"/>
    <w:pPr>
      <w:spacing w:after="0" w:line="240" w:lineRule="auto"/>
    </w:pPr>
    <w:tblPr>
      <w:tblStyleRowBandSize w:val="1"/>
      <w:tblStyleColBandSize w:val="1"/>
      <w:tblInd w:w="0" w:type="dxa"/>
      <w:tblBorders>
        <w:top w:val="single" w:sz="8" w:space="0" w:color="0F6FC6" w:themeColor="accent1"/>
        <w:left w:val="single" w:sz="8" w:space="0" w:color="0F6FC6" w:themeColor="accent1"/>
        <w:bottom w:val="single" w:sz="8" w:space="0" w:color="0F6FC6" w:themeColor="accent1"/>
        <w:right w:val="single" w:sz="8" w:space="0" w:color="0F6FC6" w:themeColor="accent1"/>
        <w:insideH w:val="single" w:sz="8" w:space="0" w:color="0F6FC6" w:themeColor="accent1"/>
        <w:insideV w:val="single" w:sz="8" w:space="0" w:color="0F6FC6"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F6FC6" w:themeColor="accent1"/>
          <w:left w:val="single" w:sz="8" w:space="0" w:color="0F6FC6" w:themeColor="accent1"/>
          <w:bottom w:val="single" w:sz="18" w:space="0" w:color="0F6FC6" w:themeColor="accent1"/>
          <w:right w:val="single" w:sz="8" w:space="0" w:color="0F6FC6" w:themeColor="accent1"/>
          <w:insideH w:val="nil"/>
          <w:insideV w:val="single" w:sz="8" w:space="0" w:color="0F6FC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6FC6" w:themeColor="accent1"/>
          <w:left w:val="single" w:sz="8" w:space="0" w:color="0F6FC6" w:themeColor="accent1"/>
          <w:bottom w:val="single" w:sz="8" w:space="0" w:color="0F6FC6" w:themeColor="accent1"/>
          <w:right w:val="single" w:sz="8" w:space="0" w:color="0F6FC6" w:themeColor="accent1"/>
          <w:insideH w:val="nil"/>
          <w:insideV w:val="single" w:sz="8" w:space="0" w:color="0F6FC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6FC6" w:themeColor="accent1"/>
          <w:left w:val="single" w:sz="8" w:space="0" w:color="0F6FC6" w:themeColor="accent1"/>
          <w:bottom w:val="single" w:sz="8" w:space="0" w:color="0F6FC6" w:themeColor="accent1"/>
          <w:right w:val="single" w:sz="8" w:space="0" w:color="0F6FC6" w:themeColor="accent1"/>
        </w:tcBorders>
      </w:tcPr>
    </w:tblStylePr>
    <w:tblStylePr w:type="band1Vert">
      <w:tblPr/>
      <w:tcPr>
        <w:tcBorders>
          <w:top w:val="single" w:sz="8" w:space="0" w:color="0F6FC6" w:themeColor="accent1"/>
          <w:left w:val="single" w:sz="8" w:space="0" w:color="0F6FC6" w:themeColor="accent1"/>
          <w:bottom w:val="single" w:sz="8" w:space="0" w:color="0F6FC6" w:themeColor="accent1"/>
          <w:right w:val="single" w:sz="8" w:space="0" w:color="0F6FC6" w:themeColor="accent1"/>
        </w:tcBorders>
        <w:shd w:val="clear" w:color="auto" w:fill="BADBF9" w:themeFill="accent1" w:themeFillTint="3F"/>
      </w:tcPr>
    </w:tblStylePr>
    <w:tblStylePr w:type="band1Horz">
      <w:tblPr/>
      <w:tcPr>
        <w:tcBorders>
          <w:top w:val="single" w:sz="8" w:space="0" w:color="0F6FC6" w:themeColor="accent1"/>
          <w:left w:val="single" w:sz="8" w:space="0" w:color="0F6FC6" w:themeColor="accent1"/>
          <w:bottom w:val="single" w:sz="8" w:space="0" w:color="0F6FC6" w:themeColor="accent1"/>
          <w:right w:val="single" w:sz="8" w:space="0" w:color="0F6FC6" w:themeColor="accent1"/>
          <w:insideV w:val="single" w:sz="8" w:space="0" w:color="0F6FC6" w:themeColor="accent1"/>
        </w:tcBorders>
        <w:shd w:val="clear" w:color="auto" w:fill="BADBF9" w:themeFill="accent1" w:themeFillTint="3F"/>
      </w:tcPr>
    </w:tblStylePr>
    <w:tblStylePr w:type="band2Horz">
      <w:tblPr/>
      <w:tcPr>
        <w:tcBorders>
          <w:top w:val="single" w:sz="8" w:space="0" w:color="0F6FC6" w:themeColor="accent1"/>
          <w:left w:val="single" w:sz="8" w:space="0" w:color="0F6FC6" w:themeColor="accent1"/>
          <w:bottom w:val="single" w:sz="8" w:space="0" w:color="0F6FC6" w:themeColor="accent1"/>
          <w:right w:val="single" w:sz="8" w:space="0" w:color="0F6FC6" w:themeColor="accent1"/>
          <w:insideV w:val="single" w:sz="8" w:space="0" w:color="0F6FC6" w:themeColor="accent1"/>
        </w:tcBorders>
      </w:tcPr>
    </w:tblStylePr>
  </w:style>
  <w:style w:type="table" w:styleId="Cuadrculaclara-nfasis6">
    <w:name w:val="Light Grid Accent 6"/>
    <w:basedOn w:val="Tablanormal"/>
    <w:uiPriority w:val="62"/>
    <w:rsid w:val="006D5EB6"/>
    <w:pPr>
      <w:spacing w:after="0" w:line="240" w:lineRule="auto"/>
    </w:pPr>
    <w:tblPr>
      <w:tblStyleRowBandSize w:val="1"/>
      <w:tblStyleColBandSize w:val="1"/>
      <w:tblInd w:w="0" w:type="dxa"/>
      <w:tblBorders>
        <w:top w:val="single" w:sz="8" w:space="0" w:color="A5C249" w:themeColor="accent6"/>
        <w:left w:val="single" w:sz="8" w:space="0" w:color="A5C249" w:themeColor="accent6"/>
        <w:bottom w:val="single" w:sz="8" w:space="0" w:color="A5C249" w:themeColor="accent6"/>
        <w:right w:val="single" w:sz="8" w:space="0" w:color="A5C249" w:themeColor="accent6"/>
        <w:insideH w:val="single" w:sz="8" w:space="0" w:color="A5C249" w:themeColor="accent6"/>
        <w:insideV w:val="single" w:sz="8" w:space="0" w:color="A5C249"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C249" w:themeColor="accent6"/>
          <w:left w:val="single" w:sz="8" w:space="0" w:color="A5C249" w:themeColor="accent6"/>
          <w:bottom w:val="single" w:sz="18" w:space="0" w:color="A5C249" w:themeColor="accent6"/>
          <w:right w:val="single" w:sz="8" w:space="0" w:color="A5C249" w:themeColor="accent6"/>
          <w:insideH w:val="nil"/>
          <w:insideV w:val="single" w:sz="8" w:space="0" w:color="A5C249"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C249" w:themeColor="accent6"/>
          <w:left w:val="single" w:sz="8" w:space="0" w:color="A5C249" w:themeColor="accent6"/>
          <w:bottom w:val="single" w:sz="8" w:space="0" w:color="A5C249" w:themeColor="accent6"/>
          <w:right w:val="single" w:sz="8" w:space="0" w:color="A5C249" w:themeColor="accent6"/>
          <w:insideH w:val="nil"/>
          <w:insideV w:val="single" w:sz="8" w:space="0" w:color="A5C249"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C249" w:themeColor="accent6"/>
          <w:left w:val="single" w:sz="8" w:space="0" w:color="A5C249" w:themeColor="accent6"/>
          <w:bottom w:val="single" w:sz="8" w:space="0" w:color="A5C249" w:themeColor="accent6"/>
          <w:right w:val="single" w:sz="8" w:space="0" w:color="A5C249" w:themeColor="accent6"/>
        </w:tcBorders>
      </w:tcPr>
    </w:tblStylePr>
    <w:tblStylePr w:type="band1Vert">
      <w:tblPr/>
      <w:tcPr>
        <w:tcBorders>
          <w:top w:val="single" w:sz="8" w:space="0" w:color="A5C249" w:themeColor="accent6"/>
          <w:left w:val="single" w:sz="8" w:space="0" w:color="A5C249" w:themeColor="accent6"/>
          <w:bottom w:val="single" w:sz="8" w:space="0" w:color="A5C249" w:themeColor="accent6"/>
          <w:right w:val="single" w:sz="8" w:space="0" w:color="A5C249" w:themeColor="accent6"/>
        </w:tcBorders>
        <w:shd w:val="clear" w:color="auto" w:fill="E8F0D1" w:themeFill="accent6" w:themeFillTint="3F"/>
      </w:tcPr>
    </w:tblStylePr>
    <w:tblStylePr w:type="band1Horz">
      <w:tblPr/>
      <w:tcPr>
        <w:tcBorders>
          <w:top w:val="single" w:sz="8" w:space="0" w:color="A5C249" w:themeColor="accent6"/>
          <w:left w:val="single" w:sz="8" w:space="0" w:color="A5C249" w:themeColor="accent6"/>
          <w:bottom w:val="single" w:sz="8" w:space="0" w:color="A5C249" w:themeColor="accent6"/>
          <w:right w:val="single" w:sz="8" w:space="0" w:color="A5C249" w:themeColor="accent6"/>
          <w:insideV w:val="single" w:sz="8" w:space="0" w:color="A5C249" w:themeColor="accent6"/>
        </w:tcBorders>
        <w:shd w:val="clear" w:color="auto" w:fill="E8F0D1" w:themeFill="accent6" w:themeFillTint="3F"/>
      </w:tcPr>
    </w:tblStylePr>
    <w:tblStylePr w:type="band2Horz">
      <w:tblPr/>
      <w:tcPr>
        <w:tcBorders>
          <w:top w:val="single" w:sz="8" w:space="0" w:color="A5C249" w:themeColor="accent6"/>
          <w:left w:val="single" w:sz="8" w:space="0" w:color="A5C249" w:themeColor="accent6"/>
          <w:bottom w:val="single" w:sz="8" w:space="0" w:color="A5C249" w:themeColor="accent6"/>
          <w:right w:val="single" w:sz="8" w:space="0" w:color="A5C249" w:themeColor="accent6"/>
          <w:insideV w:val="single" w:sz="8" w:space="0" w:color="A5C249" w:themeColor="accent6"/>
        </w:tcBorders>
      </w:tcPr>
    </w:tblStylePr>
  </w:style>
  <w:style w:type="table" w:styleId="Cuadrculaclara-nfasis3">
    <w:name w:val="Light Grid Accent 3"/>
    <w:basedOn w:val="Tablanormal"/>
    <w:uiPriority w:val="62"/>
    <w:rsid w:val="006D5EB6"/>
    <w:pPr>
      <w:spacing w:after="0" w:line="240" w:lineRule="auto"/>
    </w:pPr>
    <w:tblPr>
      <w:tblStyleRowBandSize w:val="1"/>
      <w:tblStyleColBandSize w:val="1"/>
      <w:tblInd w:w="0" w:type="dxa"/>
      <w:tblBorders>
        <w:top w:val="single" w:sz="8" w:space="0" w:color="0BD0D9" w:themeColor="accent3"/>
        <w:left w:val="single" w:sz="8" w:space="0" w:color="0BD0D9" w:themeColor="accent3"/>
        <w:bottom w:val="single" w:sz="8" w:space="0" w:color="0BD0D9" w:themeColor="accent3"/>
        <w:right w:val="single" w:sz="8" w:space="0" w:color="0BD0D9" w:themeColor="accent3"/>
        <w:insideH w:val="single" w:sz="8" w:space="0" w:color="0BD0D9" w:themeColor="accent3"/>
        <w:insideV w:val="single" w:sz="8" w:space="0" w:color="0BD0D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BD0D9" w:themeColor="accent3"/>
          <w:left w:val="single" w:sz="8" w:space="0" w:color="0BD0D9" w:themeColor="accent3"/>
          <w:bottom w:val="single" w:sz="18" w:space="0" w:color="0BD0D9" w:themeColor="accent3"/>
          <w:right w:val="single" w:sz="8" w:space="0" w:color="0BD0D9" w:themeColor="accent3"/>
          <w:insideH w:val="nil"/>
          <w:insideV w:val="single" w:sz="8" w:space="0" w:color="0BD0D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BD0D9" w:themeColor="accent3"/>
          <w:left w:val="single" w:sz="8" w:space="0" w:color="0BD0D9" w:themeColor="accent3"/>
          <w:bottom w:val="single" w:sz="8" w:space="0" w:color="0BD0D9" w:themeColor="accent3"/>
          <w:right w:val="single" w:sz="8" w:space="0" w:color="0BD0D9" w:themeColor="accent3"/>
          <w:insideH w:val="nil"/>
          <w:insideV w:val="single" w:sz="8" w:space="0" w:color="0BD0D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BD0D9" w:themeColor="accent3"/>
          <w:left w:val="single" w:sz="8" w:space="0" w:color="0BD0D9" w:themeColor="accent3"/>
          <w:bottom w:val="single" w:sz="8" w:space="0" w:color="0BD0D9" w:themeColor="accent3"/>
          <w:right w:val="single" w:sz="8" w:space="0" w:color="0BD0D9" w:themeColor="accent3"/>
        </w:tcBorders>
      </w:tcPr>
    </w:tblStylePr>
    <w:tblStylePr w:type="band1Vert">
      <w:tblPr/>
      <w:tcPr>
        <w:tcBorders>
          <w:top w:val="single" w:sz="8" w:space="0" w:color="0BD0D9" w:themeColor="accent3"/>
          <w:left w:val="single" w:sz="8" w:space="0" w:color="0BD0D9" w:themeColor="accent3"/>
          <w:bottom w:val="single" w:sz="8" w:space="0" w:color="0BD0D9" w:themeColor="accent3"/>
          <w:right w:val="single" w:sz="8" w:space="0" w:color="0BD0D9" w:themeColor="accent3"/>
        </w:tcBorders>
        <w:shd w:val="clear" w:color="auto" w:fill="BCF8FB" w:themeFill="accent3" w:themeFillTint="3F"/>
      </w:tcPr>
    </w:tblStylePr>
    <w:tblStylePr w:type="band1Horz">
      <w:tblPr/>
      <w:tcPr>
        <w:tcBorders>
          <w:top w:val="single" w:sz="8" w:space="0" w:color="0BD0D9" w:themeColor="accent3"/>
          <w:left w:val="single" w:sz="8" w:space="0" w:color="0BD0D9" w:themeColor="accent3"/>
          <w:bottom w:val="single" w:sz="8" w:space="0" w:color="0BD0D9" w:themeColor="accent3"/>
          <w:right w:val="single" w:sz="8" w:space="0" w:color="0BD0D9" w:themeColor="accent3"/>
          <w:insideV w:val="single" w:sz="8" w:space="0" w:color="0BD0D9" w:themeColor="accent3"/>
        </w:tcBorders>
        <w:shd w:val="clear" w:color="auto" w:fill="BCF8FB" w:themeFill="accent3" w:themeFillTint="3F"/>
      </w:tcPr>
    </w:tblStylePr>
    <w:tblStylePr w:type="band2Horz">
      <w:tblPr/>
      <w:tcPr>
        <w:tcBorders>
          <w:top w:val="single" w:sz="8" w:space="0" w:color="0BD0D9" w:themeColor="accent3"/>
          <w:left w:val="single" w:sz="8" w:space="0" w:color="0BD0D9" w:themeColor="accent3"/>
          <w:bottom w:val="single" w:sz="8" w:space="0" w:color="0BD0D9" w:themeColor="accent3"/>
          <w:right w:val="single" w:sz="8" w:space="0" w:color="0BD0D9" w:themeColor="accent3"/>
          <w:insideV w:val="single" w:sz="8" w:space="0" w:color="0BD0D9" w:themeColor="accent3"/>
        </w:tcBorders>
      </w:tcPr>
    </w:tblStylePr>
  </w:style>
  <w:style w:type="table" w:styleId="Cuadrculaclara-nfasis5">
    <w:name w:val="Light Grid Accent 5"/>
    <w:basedOn w:val="Tablanormal"/>
    <w:uiPriority w:val="62"/>
    <w:rsid w:val="006D5EB6"/>
    <w:pPr>
      <w:spacing w:after="0" w:line="240" w:lineRule="auto"/>
    </w:pPr>
    <w:tblPr>
      <w:tblStyleRowBandSize w:val="1"/>
      <w:tblStyleColBandSize w:val="1"/>
      <w:tblInd w:w="0" w:type="dxa"/>
      <w:tblBorders>
        <w:top w:val="single" w:sz="8" w:space="0" w:color="7CCA62" w:themeColor="accent5"/>
        <w:left w:val="single" w:sz="8" w:space="0" w:color="7CCA62" w:themeColor="accent5"/>
        <w:bottom w:val="single" w:sz="8" w:space="0" w:color="7CCA62" w:themeColor="accent5"/>
        <w:right w:val="single" w:sz="8" w:space="0" w:color="7CCA62" w:themeColor="accent5"/>
        <w:insideH w:val="single" w:sz="8" w:space="0" w:color="7CCA62" w:themeColor="accent5"/>
        <w:insideV w:val="single" w:sz="8" w:space="0" w:color="7CCA62"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CCA62" w:themeColor="accent5"/>
          <w:left w:val="single" w:sz="8" w:space="0" w:color="7CCA62" w:themeColor="accent5"/>
          <w:bottom w:val="single" w:sz="18" w:space="0" w:color="7CCA62" w:themeColor="accent5"/>
          <w:right w:val="single" w:sz="8" w:space="0" w:color="7CCA62" w:themeColor="accent5"/>
          <w:insideH w:val="nil"/>
          <w:insideV w:val="single" w:sz="8" w:space="0" w:color="7CCA6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CCA62" w:themeColor="accent5"/>
          <w:left w:val="single" w:sz="8" w:space="0" w:color="7CCA62" w:themeColor="accent5"/>
          <w:bottom w:val="single" w:sz="8" w:space="0" w:color="7CCA62" w:themeColor="accent5"/>
          <w:right w:val="single" w:sz="8" w:space="0" w:color="7CCA62" w:themeColor="accent5"/>
          <w:insideH w:val="nil"/>
          <w:insideV w:val="single" w:sz="8" w:space="0" w:color="7CCA6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CCA62" w:themeColor="accent5"/>
          <w:left w:val="single" w:sz="8" w:space="0" w:color="7CCA62" w:themeColor="accent5"/>
          <w:bottom w:val="single" w:sz="8" w:space="0" w:color="7CCA62" w:themeColor="accent5"/>
          <w:right w:val="single" w:sz="8" w:space="0" w:color="7CCA62" w:themeColor="accent5"/>
        </w:tcBorders>
      </w:tcPr>
    </w:tblStylePr>
    <w:tblStylePr w:type="band1Vert">
      <w:tblPr/>
      <w:tcPr>
        <w:tcBorders>
          <w:top w:val="single" w:sz="8" w:space="0" w:color="7CCA62" w:themeColor="accent5"/>
          <w:left w:val="single" w:sz="8" w:space="0" w:color="7CCA62" w:themeColor="accent5"/>
          <w:bottom w:val="single" w:sz="8" w:space="0" w:color="7CCA62" w:themeColor="accent5"/>
          <w:right w:val="single" w:sz="8" w:space="0" w:color="7CCA62" w:themeColor="accent5"/>
        </w:tcBorders>
        <w:shd w:val="clear" w:color="auto" w:fill="DEF2D8" w:themeFill="accent5" w:themeFillTint="3F"/>
      </w:tcPr>
    </w:tblStylePr>
    <w:tblStylePr w:type="band1Horz">
      <w:tblPr/>
      <w:tcPr>
        <w:tcBorders>
          <w:top w:val="single" w:sz="8" w:space="0" w:color="7CCA62" w:themeColor="accent5"/>
          <w:left w:val="single" w:sz="8" w:space="0" w:color="7CCA62" w:themeColor="accent5"/>
          <w:bottom w:val="single" w:sz="8" w:space="0" w:color="7CCA62" w:themeColor="accent5"/>
          <w:right w:val="single" w:sz="8" w:space="0" w:color="7CCA62" w:themeColor="accent5"/>
          <w:insideV w:val="single" w:sz="8" w:space="0" w:color="7CCA62" w:themeColor="accent5"/>
        </w:tcBorders>
        <w:shd w:val="clear" w:color="auto" w:fill="DEF2D8" w:themeFill="accent5" w:themeFillTint="3F"/>
      </w:tcPr>
    </w:tblStylePr>
    <w:tblStylePr w:type="band2Horz">
      <w:tblPr/>
      <w:tcPr>
        <w:tcBorders>
          <w:top w:val="single" w:sz="8" w:space="0" w:color="7CCA62" w:themeColor="accent5"/>
          <w:left w:val="single" w:sz="8" w:space="0" w:color="7CCA62" w:themeColor="accent5"/>
          <w:bottom w:val="single" w:sz="8" w:space="0" w:color="7CCA62" w:themeColor="accent5"/>
          <w:right w:val="single" w:sz="8" w:space="0" w:color="7CCA62" w:themeColor="accent5"/>
          <w:insideV w:val="single" w:sz="8" w:space="0" w:color="7CCA62" w:themeColor="accent5"/>
        </w:tcBorders>
      </w:tcPr>
    </w:tblStylePr>
  </w:style>
  <w:style w:type="table" w:styleId="Cuadrculaclara-nfasis2">
    <w:name w:val="Light Grid Accent 2"/>
    <w:basedOn w:val="Tablanormal"/>
    <w:uiPriority w:val="62"/>
    <w:rsid w:val="006D5EB6"/>
    <w:pPr>
      <w:spacing w:after="0" w:line="240" w:lineRule="auto"/>
    </w:pPr>
    <w:tblPr>
      <w:tblStyleRowBandSize w:val="1"/>
      <w:tblStyleColBandSize w:val="1"/>
      <w:tblInd w:w="0" w:type="dxa"/>
      <w:tblBorders>
        <w:top w:val="single" w:sz="8" w:space="0" w:color="009DD9" w:themeColor="accent2"/>
        <w:left w:val="single" w:sz="8" w:space="0" w:color="009DD9" w:themeColor="accent2"/>
        <w:bottom w:val="single" w:sz="8" w:space="0" w:color="009DD9" w:themeColor="accent2"/>
        <w:right w:val="single" w:sz="8" w:space="0" w:color="009DD9" w:themeColor="accent2"/>
        <w:insideH w:val="single" w:sz="8" w:space="0" w:color="009DD9" w:themeColor="accent2"/>
        <w:insideV w:val="single" w:sz="8" w:space="0" w:color="009DD9"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9DD9" w:themeColor="accent2"/>
          <w:left w:val="single" w:sz="8" w:space="0" w:color="009DD9" w:themeColor="accent2"/>
          <w:bottom w:val="single" w:sz="18" w:space="0" w:color="009DD9" w:themeColor="accent2"/>
          <w:right w:val="single" w:sz="8" w:space="0" w:color="009DD9" w:themeColor="accent2"/>
          <w:insideH w:val="nil"/>
          <w:insideV w:val="single" w:sz="8" w:space="0" w:color="009DD9"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9DD9" w:themeColor="accent2"/>
          <w:left w:val="single" w:sz="8" w:space="0" w:color="009DD9" w:themeColor="accent2"/>
          <w:bottom w:val="single" w:sz="8" w:space="0" w:color="009DD9" w:themeColor="accent2"/>
          <w:right w:val="single" w:sz="8" w:space="0" w:color="009DD9" w:themeColor="accent2"/>
          <w:insideH w:val="nil"/>
          <w:insideV w:val="single" w:sz="8" w:space="0" w:color="009DD9"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9DD9" w:themeColor="accent2"/>
          <w:left w:val="single" w:sz="8" w:space="0" w:color="009DD9" w:themeColor="accent2"/>
          <w:bottom w:val="single" w:sz="8" w:space="0" w:color="009DD9" w:themeColor="accent2"/>
          <w:right w:val="single" w:sz="8" w:space="0" w:color="009DD9" w:themeColor="accent2"/>
        </w:tcBorders>
      </w:tcPr>
    </w:tblStylePr>
    <w:tblStylePr w:type="band1Vert">
      <w:tblPr/>
      <w:tcPr>
        <w:tcBorders>
          <w:top w:val="single" w:sz="8" w:space="0" w:color="009DD9" w:themeColor="accent2"/>
          <w:left w:val="single" w:sz="8" w:space="0" w:color="009DD9" w:themeColor="accent2"/>
          <w:bottom w:val="single" w:sz="8" w:space="0" w:color="009DD9" w:themeColor="accent2"/>
          <w:right w:val="single" w:sz="8" w:space="0" w:color="009DD9" w:themeColor="accent2"/>
        </w:tcBorders>
        <w:shd w:val="clear" w:color="auto" w:fill="B6EAFF" w:themeFill="accent2" w:themeFillTint="3F"/>
      </w:tcPr>
    </w:tblStylePr>
    <w:tblStylePr w:type="band1Horz">
      <w:tblPr/>
      <w:tcPr>
        <w:tcBorders>
          <w:top w:val="single" w:sz="8" w:space="0" w:color="009DD9" w:themeColor="accent2"/>
          <w:left w:val="single" w:sz="8" w:space="0" w:color="009DD9" w:themeColor="accent2"/>
          <w:bottom w:val="single" w:sz="8" w:space="0" w:color="009DD9" w:themeColor="accent2"/>
          <w:right w:val="single" w:sz="8" w:space="0" w:color="009DD9" w:themeColor="accent2"/>
          <w:insideV w:val="single" w:sz="8" w:space="0" w:color="009DD9" w:themeColor="accent2"/>
        </w:tcBorders>
        <w:shd w:val="clear" w:color="auto" w:fill="B6EAFF" w:themeFill="accent2" w:themeFillTint="3F"/>
      </w:tcPr>
    </w:tblStylePr>
    <w:tblStylePr w:type="band2Horz">
      <w:tblPr/>
      <w:tcPr>
        <w:tcBorders>
          <w:top w:val="single" w:sz="8" w:space="0" w:color="009DD9" w:themeColor="accent2"/>
          <w:left w:val="single" w:sz="8" w:space="0" w:color="009DD9" w:themeColor="accent2"/>
          <w:bottom w:val="single" w:sz="8" w:space="0" w:color="009DD9" w:themeColor="accent2"/>
          <w:right w:val="single" w:sz="8" w:space="0" w:color="009DD9" w:themeColor="accent2"/>
          <w:insideV w:val="single" w:sz="8" w:space="0" w:color="009DD9" w:themeColor="accent2"/>
        </w:tcBorders>
      </w:tcPr>
    </w:tblStylePr>
  </w:style>
  <w:style w:type="table" w:customStyle="1" w:styleId="Sombreadomedio2-nfasis12">
    <w:name w:val="Sombreado medio 2 - Énfasis 12"/>
    <w:basedOn w:val="Tablanormal"/>
    <w:uiPriority w:val="64"/>
    <w:rsid w:val="006D5EB6"/>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F6FC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F6FC6" w:themeFill="accent1"/>
      </w:tcPr>
    </w:tblStylePr>
    <w:tblStylePr w:type="lastCol">
      <w:rPr>
        <w:b/>
        <w:bCs/>
        <w:color w:val="FFFFFF" w:themeColor="background1"/>
      </w:rPr>
      <w:tblPr/>
      <w:tcPr>
        <w:tcBorders>
          <w:left w:val="nil"/>
          <w:right w:val="nil"/>
          <w:insideH w:val="nil"/>
          <w:insideV w:val="nil"/>
        </w:tcBorders>
        <w:shd w:val="clear" w:color="auto" w:fill="0F6FC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clara-nfasis5">
    <w:name w:val="Light List Accent 5"/>
    <w:basedOn w:val="Tablanormal"/>
    <w:uiPriority w:val="61"/>
    <w:rsid w:val="006D5EB6"/>
    <w:pPr>
      <w:spacing w:after="0" w:line="240" w:lineRule="auto"/>
    </w:pPr>
    <w:tblPr>
      <w:tblStyleRowBandSize w:val="1"/>
      <w:tblStyleColBandSize w:val="1"/>
      <w:tblInd w:w="0" w:type="dxa"/>
      <w:tblBorders>
        <w:top w:val="single" w:sz="8" w:space="0" w:color="7CCA62" w:themeColor="accent5"/>
        <w:left w:val="single" w:sz="8" w:space="0" w:color="7CCA62" w:themeColor="accent5"/>
        <w:bottom w:val="single" w:sz="8" w:space="0" w:color="7CCA62" w:themeColor="accent5"/>
        <w:right w:val="single" w:sz="8" w:space="0" w:color="7CCA62"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CCA62" w:themeFill="accent5"/>
      </w:tcPr>
    </w:tblStylePr>
    <w:tblStylePr w:type="lastRow">
      <w:pPr>
        <w:spacing w:before="0" w:after="0" w:line="240" w:lineRule="auto"/>
      </w:pPr>
      <w:rPr>
        <w:b/>
        <w:bCs/>
      </w:rPr>
      <w:tblPr/>
      <w:tcPr>
        <w:tcBorders>
          <w:top w:val="double" w:sz="6" w:space="0" w:color="7CCA62" w:themeColor="accent5"/>
          <w:left w:val="single" w:sz="8" w:space="0" w:color="7CCA62" w:themeColor="accent5"/>
          <w:bottom w:val="single" w:sz="8" w:space="0" w:color="7CCA62" w:themeColor="accent5"/>
          <w:right w:val="single" w:sz="8" w:space="0" w:color="7CCA62" w:themeColor="accent5"/>
        </w:tcBorders>
      </w:tcPr>
    </w:tblStylePr>
    <w:tblStylePr w:type="firstCol">
      <w:rPr>
        <w:b/>
        <w:bCs/>
      </w:rPr>
    </w:tblStylePr>
    <w:tblStylePr w:type="lastCol">
      <w:rPr>
        <w:b/>
        <w:bCs/>
      </w:rPr>
    </w:tblStylePr>
    <w:tblStylePr w:type="band1Vert">
      <w:tblPr/>
      <w:tcPr>
        <w:tcBorders>
          <w:top w:val="single" w:sz="8" w:space="0" w:color="7CCA62" w:themeColor="accent5"/>
          <w:left w:val="single" w:sz="8" w:space="0" w:color="7CCA62" w:themeColor="accent5"/>
          <w:bottom w:val="single" w:sz="8" w:space="0" w:color="7CCA62" w:themeColor="accent5"/>
          <w:right w:val="single" w:sz="8" w:space="0" w:color="7CCA62" w:themeColor="accent5"/>
        </w:tcBorders>
      </w:tcPr>
    </w:tblStylePr>
    <w:tblStylePr w:type="band1Horz">
      <w:tblPr/>
      <w:tcPr>
        <w:tcBorders>
          <w:top w:val="single" w:sz="8" w:space="0" w:color="7CCA62" w:themeColor="accent5"/>
          <w:left w:val="single" w:sz="8" w:space="0" w:color="7CCA62" w:themeColor="accent5"/>
          <w:bottom w:val="single" w:sz="8" w:space="0" w:color="7CCA62" w:themeColor="accent5"/>
          <w:right w:val="single" w:sz="8" w:space="0" w:color="7CCA62" w:themeColor="accent5"/>
        </w:tcBorders>
      </w:tcPr>
    </w:tblStylePr>
  </w:style>
  <w:style w:type="table" w:styleId="Listamedia1-nfasis4">
    <w:name w:val="Medium List 1 Accent 4"/>
    <w:basedOn w:val="Tablanormal"/>
    <w:uiPriority w:val="65"/>
    <w:rsid w:val="006D5EB6"/>
    <w:pPr>
      <w:spacing w:after="0" w:line="240" w:lineRule="auto"/>
    </w:pPr>
    <w:rPr>
      <w:color w:val="000000" w:themeColor="text1"/>
    </w:rPr>
    <w:tblPr>
      <w:tblStyleRowBandSize w:val="1"/>
      <w:tblStyleColBandSize w:val="1"/>
      <w:tblInd w:w="0" w:type="dxa"/>
      <w:tblBorders>
        <w:top w:val="single" w:sz="8" w:space="0" w:color="10CF9B" w:themeColor="accent4"/>
        <w:bottom w:val="single" w:sz="8" w:space="0" w:color="10CF9B"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10CF9B" w:themeColor="accent4"/>
        </w:tcBorders>
      </w:tcPr>
    </w:tblStylePr>
    <w:tblStylePr w:type="lastRow">
      <w:rPr>
        <w:b/>
        <w:bCs/>
        <w:color w:val="04617B" w:themeColor="text2"/>
      </w:rPr>
      <w:tblPr/>
      <w:tcPr>
        <w:tcBorders>
          <w:top w:val="single" w:sz="8" w:space="0" w:color="10CF9B" w:themeColor="accent4"/>
          <w:bottom w:val="single" w:sz="8" w:space="0" w:color="10CF9B" w:themeColor="accent4"/>
        </w:tcBorders>
      </w:tcPr>
    </w:tblStylePr>
    <w:tblStylePr w:type="firstCol">
      <w:rPr>
        <w:b/>
        <w:bCs/>
      </w:rPr>
    </w:tblStylePr>
    <w:tblStylePr w:type="lastCol">
      <w:rPr>
        <w:b/>
        <w:bCs/>
      </w:rPr>
      <w:tblPr/>
      <w:tcPr>
        <w:tcBorders>
          <w:top w:val="single" w:sz="8" w:space="0" w:color="10CF9B" w:themeColor="accent4"/>
          <w:bottom w:val="single" w:sz="8" w:space="0" w:color="10CF9B" w:themeColor="accent4"/>
        </w:tcBorders>
      </w:tcPr>
    </w:tblStylePr>
    <w:tblStylePr w:type="band1Vert">
      <w:tblPr/>
      <w:tcPr>
        <w:shd w:val="clear" w:color="auto" w:fill="BDFAE9" w:themeFill="accent4" w:themeFillTint="3F"/>
      </w:tcPr>
    </w:tblStylePr>
    <w:tblStylePr w:type="band1Horz">
      <w:tblPr/>
      <w:tcPr>
        <w:shd w:val="clear" w:color="auto" w:fill="BDFAE9" w:themeFill="accent4" w:themeFillTint="3F"/>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chart" Target="charts/chart1.xml"/><Relationship Id="rId18" Type="http://schemas.openxmlformats.org/officeDocument/2006/relationships/chart" Target="charts/chart6.xml"/><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image" Target="media/image2.png"/><Relationship Id="rId12" Type="http://schemas.openxmlformats.org/officeDocument/2006/relationships/diagramColors" Target="diagrams/colors1.xml"/><Relationship Id="rId17"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chart" Target="charts/chart8.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theme" Target="theme/theme1.xml"/><Relationship Id="rId10" Type="http://schemas.openxmlformats.org/officeDocument/2006/relationships/diagramLayout" Target="diagrams/layout1.xml"/><Relationship Id="rId19" Type="http://schemas.openxmlformats.org/officeDocument/2006/relationships/chart" Target="charts/chart7.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chart" Target="charts/chart2.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F:\SISTEMA%20DE%20MONITOREO%20Y%20SEGUIMIENTO.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juan\Desktop\SISTEMA%20DE%20MONITOREO%20Y%20SEGUIMIENTO.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juan\Desktop\SISTEMA%20DE%20MONITOREO%20Y%20SEGUIMIENTO.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juan\Desktop\SISTEMA%20DE%20MONITOREO%20Y%20SEGUIMIENTO.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juan\Desktop\SISTEMA%20DE%20MONITOREO%20Y%20SEGUIMIENTO.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juan\Desktop\SISTEMA%20DE%20MONITOREO%20Y%20SEGUIMIENTO.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juan\Desktop\SISTEMA%20DE%20MONITOREO%20Y%20SEGUIMIENTO.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juan\Desktop\SISTEMA%20DE%20MONITOREO%20Y%20SEGUIMIENTO.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s-EC"/>
  <c:style val="27"/>
  <c:chart>
    <c:title>
      <c:tx>
        <c:rich>
          <a:bodyPr/>
          <a:lstStyle/>
          <a:p>
            <a:pPr>
              <a:defRPr/>
            </a:pPr>
            <a:r>
              <a:rPr lang="es-EC"/>
              <a:t>ESTRUCTURA ECONÓMICA</a:t>
            </a:r>
          </a:p>
        </c:rich>
      </c:tx>
    </c:title>
    <c:plotArea>
      <c:layout/>
      <c:barChart>
        <c:barDir val="col"/>
        <c:grouping val="clustered"/>
        <c:ser>
          <c:idx val="0"/>
          <c:order val="0"/>
          <c:cat>
            <c:strRef>
              <c:f>'Estruct. Económica BG'!$D$43:$D$57</c:f>
              <c:strCache>
                <c:ptCount val="15"/>
                <c:pt idx="0">
                  <c:v>Caja</c:v>
                </c:pt>
                <c:pt idx="1">
                  <c:v>Bancos</c:v>
                </c:pt>
                <c:pt idx="2">
                  <c:v>Ctas. Por Cobrar</c:v>
                </c:pt>
                <c:pt idx="3">
                  <c:v>Prest. Socios</c:v>
                </c:pt>
                <c:pt idx="4">
                  <c:v>Inversiones Pólizas</c:v>
                </c:pt>
                <c:pt idx="5">
                  <c:v>Terrenos</c:v>
                </c:pt>
                <c:pt idx="6">
                  <c:v>Muebles y Equip.</c:v>
                </c:pt>
                <c:pt idx="7">
                  <c:v>Equipo de Comp.</c:v>
                </c:pt>
                <c:pt idx="8">
                  <c:v>Dep. Acum.Muebles</c:v>
                </c:pt>
                <c:pt idx="9">
                  <c:v>Dep. Acum. Equipo</c:v>
                </c:pt>
                <c:pt idx="10">
                  <c:v>Dep. Acum. Edificios </c:v>
                </c:pt>
                <c:pt idx="11">
                  <c:v>Cargos Diferidos</c:v>
                </c:pt>
                <c:pt idx="12">
                  <c:v>Garantías </c:v>
                </c:pt>
                <c:pt idx="13">
                  <c:v>Cofres Mortuorios</c:v>
                </c:pt>
                <c:pt idx="14">
                  <c:v>Revaloriz. Certif. Aport</c:v>
                </c:pt>
              </c:strCache>
            </c:strRef>
          </c:cat>
          <c:val>
            <c:numRef>
              <c:f>'Estruct. Económica BG'!$E$43:$E$57</c:f>
              <c:numCache>
                <c:formatCode>0.00</c:formatCode>
                <c:ptCount val="15"/>
                <c:pt idx="0" formatCode="General">
                  <c:v>0</c:v>
                </c:pt>
                <c:pt idx="1">
                  <c:v>5.8564049551883475</c:v>
                </c:pt>
                <c:pt idx="2">
                  <c:v>0.46395223875118163</c:v>
                </c:pt>
                <c:pt idx="3">
                  <c:v>27.227699920025589</c:v>
                </c:pt>
                <c:pt idx="4">
                  <c:v>4.1169005840636101</c:v>
                </c:pt>
                <c:pt idx="5">
                  <c:v>10.596501311525424</c:v>
                </c:pt>
                <c:pt idx="6">
                  <c:v>7.0482438738601507</c:v>
                </c:pt>
                <c:pt idx="7">
                  <c:v>0.95764500562744093</c:v>
                </c:pt>
                <c:pt idx="8">
                  <c:v>-0.70482502468304775</c:v>
                </c:pt>
                <c:pt idx="9">
                  <c:v>-0.31918384513206416</c:v>
                </c:pt>
                <c:pt idx="10">
                  <c:v>-2.1227663084257191</c:v>
                </c:pt>
                <c:pt idx="11">
                  <c:v>1.2745940625032459</c:v>
                </c:pt>
                <c:pt idx="12">
                  <c:v>6.0449747737653957E-2</c:v>
                </c:pt>
                <c:pt idx="13">
                  <c:v>7.6475643750194777E-2</c:v>
                </c:pt>
                <c:pt idx="14" formatCode="General">
                  <c:v>0</c:v>
                </c:pt>
              </c:numCache>
            </c:numRef>
          </c:val>
        </c:ser>
        <c:axId val="148829312"/>
        <c:axId val="148830848"/>
      </c:barChart>
      <c:catAx>
        <c:axId val="148829312"/>
        <c:scaling>
          <c:orientation val="minMax"/>
        </c:scaling>
        <c:axPos val="b"/>
        <c:majorTickMark val="none"/>
        <c:tickLblPos val="nextTo"/>
        <c:crossAx val="148830848"/>
        <c:crosses val="autoZero"/>
        <c:auto val="1"/>
        <c:lblAlgn val="ctr"/>
        <c:lblOffset val="100"/>
      </c:catAx>
      <c:valAx>
        <c:axId val="148830848"/>
        <c:scaling>
          <c:orientation val="minMax"/>
        </c:scaling>
        <c:axPos val="l"/>
        <c:majorGridlines/>
        <c:numFmt formatCode="General" sourceLinked="1"/>
        <c:tickLblPos val="nextTo"/>
        <c:crossAx val="148829312"/>
        <c:crosses val="autoZero"/>
        <c:crossBetween val="between"/>
      </c:valAx>
    </c:plotArea>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s-EC"/>
  <c:style val="27"/>
  <c:chart>
    <c:title>
      <c:tx>
        <c:rich>
          <a:bodyPr/>
          <a:lstStyle/>
          <a:p>
            <a:pPr>
              <a:defRPr/>
            </a:pPr>
            <a:r>
              <a:rPr lang="en-US"/>
              <a:t>ESTRUCTURA FINANCIERA</a:t>
            </a:r>
          </a:p>
        </c:rich>
      </c:tx>
    </c:title>
    <c:plotArea>
      <c:layout/>
      <c:barChart>
        <c:barDir val="col"/>
        <c:grouping val="clustered"/>
        <c:ser>
          <c:idx val="0"/>
          <c:order val="0"/>
          <c:dLbls>
            <c:dLblPos val="inEnd"/>
            <c:showVal val="1"/>
          </c:dLbls>
          <c:cat>
            <c:strRef>
              <c:f>'Estruct. Financiera BG'!$D$29:$D$34</c:f>
              <c:strCache>
                <c:ptCount val="6"/>
                <c:pt idx="0">
                  <c:v>Ctas. Por Pagar</c:v>
                </c:pt>
                <c:pt idx="1">
                  <c:v>Capital Social</c:v>
                </c:pt>
                <c:pt idx="2">
                  <c:v>Reservas Legales</c:v>
                </c:pt>
                <c:pt idx="3">
                  <c:v>Reservas Facultativas</c:v>
                </c:pt>
                <c:pt idx="4">
                  <c:v>Revalúo de Act. Fijos</c:v>
                </c:pt>
                <c:pt idx="5">
                  <c:v>Utilidad del Ejercicio</c:v>
                </c:pt>
              </c:strCache>
            </c:strRef>
          </c:cat>
          <c:val>
            <c:numRef>
              <c:f>'Estruct. Financiera BG'!$E$29:$E$34</c:f>
              <c:numCache>
                <c:formatCode>0.00</c:formatCode>
                <c:ptCount val="6"/>
                <c:pt idx="0">
                  <c:v>1.2976004853314298</c:v>
                </c:pt>
                <c:pt idx="1">
                  <c:v>89.642181296942383</c:v>
                </c:pt>
                <c:pt idx="2">
                  <c:v>0.6112422042906196</c:v>
                </c:pt>
                <c:pt idx="3" formatCode="General">
                  <c:v>0</c:v>
                </c:pt>
                <c:pt idx="4" formatCode="General">
                  <c:v>0</c:v>
                </c:pt>
                <c:pt idx="5">
                  <c:v>8.448976013435562</c:v>
                </c:pt>
              </c:numCache>
            </c:numRef>
          </c:val>
        </c:ser>
        <c:gapWidth val="75"/>
        <c:overlap val="40"/>
        <c:axId val="150215680"/>
        <c:axId val="151672320"/>
      </c:barChart>
      <c:catAx>
        <c:axId val="150215680"/>
        <c:scaling>
          <c:orientation val="minMax"/>
        </c:scaling>
        <c:axPos val="b"/>
        <c:majorTickMark val="none"/>
        <c:tickLblPos val="nextTo"/>
        <c:crossAx val="151672320"/>
        <c:crosses val="autoZero"/>
        <c:auto val="1"/>
        <c:lblAlgn val="ctr"/>
        <c:lblOffset val="100"/>
      </c:catAx>
      <c:valAx>
        <c:axId val="151672320"/>
        <c:scaling>
          <c:orientation val="minMax"/>
        </c:scaling>
        <c:axPos val="l"/>
        <c:majorGridlines/>
        <c:numFmt formatCode="0.00" sourceLinked="1"/>
        <c:majorTickMark val="none"/>
        <c:tickLblPos val="nextTo"/>
        <c:crossAx val="150215680"/>
        <c:crosses val="autoZero"/>
        <c:crossBetween val="between"/>
      </c:valAx>
    </c:plotArea>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s-EC"/>
  <c:style val="27"/>
  <c:chart>
    <c:title>
      <c:tx>
        <c:rich>
          <a:bodyPr/>
          <a:lstStyle/>
          <a:p>
            <a:pPr>
              <a:defRPr/>
            </a:pPr>
            <a:r>
              <a:rPr lang="es-EC"/>
              <a:t>ESTRUCTURA ECONÓMICA</a:t>
            </a:r>
          </a:p>
        </c:rich>
      </c:tx>
    </c:title>
    <c:plotArea>
      <c:layout/>
      <c:barChart>
        <c:barDir val="col"/>
        <c:grouping val="clustered"/>
        <c:ser>
          <c:idx val="0"/>
          <c:order val="0"/>
          <c:cat>
            <c:strRef>
              <c:f>'Estruct. Económica BG'!$L$43:$L$57</c:f>
              <c:strCache>
                <c:ptCount val="15"/>
                <c:pt idx="0">
                  <c:v>Caja</c:v>
                </c:pt>
                <c:pt idx="1">
                  <c:v>Bancos</c:v>
                </c:pt>
                <c:pt idx="2">
                  <c:v>Ctas. Por Cobrar</c:v>
                </c:pt>
                <c:pt idx="3">
                  <c:v>Prest. Socios</c:v>
                </c:pt>
                <c:pt idx="4">
                  <c:v>Inversiones Pólizas</c:v>
                </c:pt>
                <c:pt idx="5">
                  <c:v>Terrenos</c:v>
                </c:pt>
                <c:pt idx="6">
                  <c:v>Muebles y Equip.</c:v>
                </c:pt>
                <c:pt idx="7">
                  <c:v>Equipo de Comp.</c:v>
                </c:pt>
                <c:pt idx="8">
                  <c:v>Dep. Acum.Muebles</c:v>
                </c:pt>
                <c:pt idx="9">
                  <c:v>Dep. Acum. Equipo</c:v>
                </c:pt>
                <c:pt idx="10">
                  <c:v>Dep. Acum. Edificios</c:v>
                </c:pt>
                <c:pt idx="11">
                  <c:v>Cargos Diferidos</c:v>
                </c:pt>
                <c:pt idx="12">
                  <c:v>Garantías </c:v>
                </c:pt>
                <c:pt idx="13">
                  <c:v>Cofres Mortuorios</c:v>
                </c:pt>
                <c:pt idx="14">
                  <c:v>Revaloriz. Certif. Aport</c:v>
                </c:pt>
              </c:strCache>
            </c:strRef>
          </c:cat>
          <c:val>
            <c:numRef>
              <c:f>'Estruct. Económica BG'!$M$43:$M$57</c:f>
              <c:numCache>
                <c:formatCode>0.00</c:formatCode>
                <c:ptCount val="15"/>
                <c:pt idx="0" formatCode="General">
                  <c:v>-100</c:v>
                </c:pt>
                <c:pt idx="1">
                  <c:v>-13.846707226064696</c:v>
                </c:pt>
                <c:pt idx="2">
                  <c:v>-46.378590719371473</c:v>
                </c:pt>
                <c:pt idx="3">
                  <c:v>0.98966135873634409</c:v>
                </c:pt>
                <c:pt idx="4">
                  <c:v>41.070647351406656</c:v>
                </c:pt>
                <c:pt idx="5">
                  <c:v>-71.163599949960243</c:v>
                </c:pt>
                <c:pt idx="6">
                  <c:v>7.0290844093359199</c:v>
                </c:pt>
                <c:pt idx="7">
                  <c:v>18.320209973753233</c:v>
                </c:pt>
                <c:pt idx="8">
                  <c:v>-1.129983908457002</c:v>
                </c:pt>
                <c:pt idx="9">
                  <c:v>30.769900259360472</c:v>
                </c:pt>
                <c:pt idx="10">
                  <c:v>-1.6754010158477808</c:v>
                </c:pt>
                <c:pt idx="11">
                  <c:v>0</c:v>
                </c:pt>
                <c:pt idx="12">
                  <c:v>0</c:v>
                </c:pt>
                <c:pt idx="13" formatCode="General">
                  <c:v>0</c:v>
                </c:pt>
                <c:pt idx="14" formatCode="General">
                  <c:v>-100</c:v>
                </c:pt>
              </c:numCache>
            </c:numRef>
          </c:val>
        </c:ser>
        <c:axId val="166909440"/>
        <c:axId val="166934784"/>
      </c:barChart>
      <c:catAx>
        <c:axId val="166909440"/>
        <c:scaling>
          <c:orientation val="minMax"/>
        </c:scaling>
        <c:axPos val="b"/>
        <c:majorTickMark val="none"/>
        <c:tickLblPos val="nextTo"/>
        <c:crossAx val="166934784"/>
        <c:crosses val="autoZero"/>
        <c:auto val="1"/>
        <c:lblAlgn val="ctr"/>
        <c:lblOffset val="100"/>
      </c:catAx>
      <c:valAx>
        <c:axId val="166934784"/>
        <c:scaling>
          <c:orientation val="minMax"/>
        </c:scaling>
        <c:axPos val="l"/>
        <c:majorGridlines/>
        <c:numFmt formatCode="General" sourceLinked="1"/>
        <c:tickLblPos val="nextTo"/>
        <c:crossAx val="166909440"/>
        <c:crosses val="autoZero"/>
        <c:crossBetween val="between"/>
      </c:valAx>
    </c:plotArea>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s-EC"/>
  <c:style val="27"/>
  <c:chart>
    <c:title>
      <c:tx>
        <c:rich>
          <a:bodyPr/>
          <a:lstStyle/>
          <a:p>
            <a:pPr>
              <a:defRPr/>
            </a:pPr>
            <a:r>
              <a:rPr lang="es-EC"/>
              <a:t>ESTRUCTURA FINANCIERA</a:t>
            </a:r>
          </a:p>
        </c:rich>
      </c:tx>
    </c:title>
    <c:plotArea>
      <c:layout/>
      <c:barChart>
        <c:barDir val="col"/>
        <c:grouping val="clustered"/>
        <c:ser>
          <c:idx val="0"/>
          <c:order val="0"/>
          <c:cat>
            <c:strRef>
              <c:f>'Estruct. Financiera BG'!$L$29:$L$33</c:f>
              <c:strCache>
                <c:ptCount val="5"/>
                <c:pt idx="0">
                  <c:v>Capital Social</c:v>
                </c:pt>
                <c:pt idx="1">
                  <c:v>Reservas Legales</c:v>
                </c:pt>
                <c:pt idx="2">
                  <c:v>Reservas Facultativas</c:v>
                </c:pt>
                <c:pt idx="3">
                  <c:v>Revalúo de Act. Fijos</c:v>
                </c:pt>
                <c:pt idx="4">
                  <c:v>Utilidad del Ejercicio</c:v>
                </c:pt>
              </c:strCache>
            </c:strRef>
          </c:cat>
          <c:val>
            <c:numRef>
              <c:f>'Estruct. Financiera BG'!$M$29:$M$33</c:f>
              <c:numCache>
                <c:formatCode>0.00</c:formatCode>
                <c:ptCount val="5"/>
                <c:pt idx="0">
                  <c:v>44.376129767063965</c:v>
                </c:pt>
                <c:pt idx="1">
                  <c:v>52.693164933135272</c:v>
                </c:pt>
                <c:pt idx="2" formatCode="General">
                  <c:v>-100</c:v>
                </c:pt>
                <c:pt idx="3" formatCode="General">
                  <c:v>-100</c:v>
                </c:pt>
                <c:pt idx="4">
                  <c:v>47.927089303626794</c:v>
                </c:pt>
              </c:numCache>
            </c:numRef>
          </c:val>
        </c:ser>
        <c:axId val="167081088"/>
        <c:axId val="167082624"/>
      </c:barChart>
      <c:catAx>
        <c:axId val="167081088"/>
        <c:scaling>
          <c:orientation val="minMax"/>
        </c:scaling>
        <c:axPos val="b"/>
        <c:majorTickMark val="none"/>
        <c:tickLblPos val="nextTo"/>
        <c:crossAx val="167082624"/>
        <c:crosses val="autoZero"/>
        <c:auto val="1"/>
        <c:lblAlgn val="ctr"/>
        <c:lblOffset val="100"/>
      </c:catAx>
      <c:valAx>
        <c:axId val="167082624"/>
        <c:scaling>
          <c:orientation val="minMax"/>
        </c:scaling>
        <c:axPos val="l"/>
        <c:majorGridlines/>
        <c:numFmt formatCode="0.00" sourceLinked="1"/>
        <c:majorTickMark val="none"/>
        <c:tickLblPos val="nextTo"/>
        <c:crossAx val="167081088"/>
        <c:crosses val="autoZero"/>
        <c:crossBetween val="between"/>
      </c:valAx>
    </c:plotArea>
    <c:plotVisOnly val="1"/>
    <c:dispBlanksAs val="gap"/>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s-EC"/>
  <c:style val="26"/>
  <c:chart>
    <c:title>
      <c:tx>
        <c:rich>
          <a:bodyPr/>
          <a:lstStyle/>
          <a:p>
            <a:pPr>
              <a:defRPr/>
            </a:pPr>
            <a:r>
              <a:rPr lang="es-EC"/>
              <a:t>ESTRUCTURA OPERATIVA</a:t>
            </a:r>
          </a:p>
        </c:rich>
      </c:tx>
    </c:title>
    <c:plotArea>
      <c:layout/>
      <c:barChart>
        <c:barDir val="col"/>
        <c:grouping val="clustered"/>
        <c:ser>
          <c:idx val="0"/>
          <c:order val="0"/>
          <c:cat>
            <c:strRef>
              <c:f>'Estruct. Operativa ER'!$D$23:$D$27</c:f>
              <c:strCache>
                <c:ptCount val="5"/>
                <c:pt idx="0">
                  <c:v>Ventas</c:v>
                </c:pt>
                <c:pt idx="1">
                  <c:v>Costo de Ventas</c:v>
                </c:pt>
                <c:pt idx="2">
                  <c:v>G. Administrativos</c:v>
                </c:pt>
                <c:pt idx="3">
                  <c:v>G. Comerciales</c:v>
                </c:pt>
                <c:pt idx="4">
                  <c:v>G. Ventas</c:v>
                </c:pt>
              </c:strCache>
            </c:strRef>
          </c:cat>
          <c:val>
            <c:numRef>
              <c:f>'Estruct. Operativa ER'!$E$23:$E$27</c:f>
              <c:numCache>
                <c:formatCode>0.00</c:formatCode>
                <c:ptCount val="5"/>
                <c:pt idx="0" formatCode="General">
                  <c:v>1</c:v>
                </c:pt>
                <c:pt idx="1">
                  <c:v>0.59133478439908227</c:v>
                </c:pt>
                <c:pt idx="2">
                  <c:v>1.2587687511030059</c:v>
                </c:pt>
                <c:pt idx="3">
                  <c:v>2.9687628684040252E-2</c:v>
                </c:pt>
                <c:pt idx="4" formatCode="General">
                  <c:v>0</c:v>
                </c:pt>
              </c:numCache>
            </c:numRef>
          </c:val>
        </c:ser>
        <c:axId val="221248128"/>
        <c:axId val="126349696"/>
      </c:barChart>
      <c:catAx>
        <c:axId val="221248128"/>
        <c:scaling>
          <c:orientation val="minMax"/>
        </c:scaling>
        <c:axPos val="b"/>
        <c:majorTickMark val="none"/>
        <c:tickLblPos val="nextTo"/>
        <c:crossAx val="126349696"/>
        <c:crosses val="autoZero"/>
        <c:auto val="1"/>
        <c:lblAlgn val="ctr"/>
        <c:lblOffset val="100"/>
      </c:catAx>
      <c:valAx>
        <c:axId val="126349696"/>
        <c:scaling>
          <c:orientation val="minMax"/>
        </c:scaling>
        <c:axPos val="l"/>
        <c:majorGridlines/>
        <c:numFmt formatCode="General" sourceLinked="1"/>
        <c:majorTickMark val="none"/>
        <c:tickLblPos val="nextTo"/>
        <c:crossAx val="221248128"/>
        <c:crosses val="autoZero"/>
        <c:crossBetween val="between"/>
      </c:valAx>
    </c:plotArea>
    <c:plotVisOnly val="1"/>
    <c:dispBlanksAs val="gap"/>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s-EC"/>
  <c:style val="27"/>
  <c:chart>
    <c:title>
      <c:tx>
        <c:rich>
          <a:bodyPr/>
          <a:lstStyle/>
          <a:p>
            <a:pPr>
              <a:defRPr/>
            </a:pPr>
            <a:r>
              <a:rPr lang="es-EC"/>
              <a:t>ESTRUCTURA FINANCIERA</a:t>
            </a:r>
          </a:p>
        </c:rich>
      </c:tx>
    </c:title>
    <c:plotArea>
      <c:layout/>
      <c:barChart>
        <c:barDir val="col"/>
        <c:grouping val="clustered"/>
        <c:ser>
          <c:idx val="0"/>
          <c:order val="0"/>
          <c:cat>
            <c:strRef>
              <c:f>'Estruct. Financiera ER'!$D$21:$D$26</c:f>
              <c:strCache>
                <c:ptCount val="6"/>
                <c:pt idx="0">
                  <c:v>G. Financieros</c:v>
                </c:pt>
                <c:pt idx="1">
                  <c:v>Ing. no Operativos</c:v>
                </c:pt>
                <c:pt idx="2">
                  <c:v>Eg. no Operativos</c:v>
                </c:pt>
                <c:pt idx="3">
                  <c:v>15% P.T</c:v>
                </c:pt>
                <c:pt idx="4">
                  <c:v>24% I.R</c:v>
                </c:pt>
                <c:pt idx="5">
                  <c:v>Utilidad Neta</c:v>
                </c:pt>
              </c:strCache>
            </c:strRef>
          </c:cat>
          <c:val>
            <c:numRef>
              <c:f>'Estruct. Financiera ER'!$E$21:$E$26</c:f>
              <c:numCache>
                <c:formatCode>0.00</c:formatCode>
                <c:ptCount val="6"/>
                <c:pt idx="0" formatCode="0">
                  <c:v>0</c:v>
                </c:pt>
                <c:pt idx="1">
                  <c:v>3.9182143067239248</c:v>
                </c:pt>
                <c:pt idx="2">
                  <c:v>2.7759432907818109</c:v>
                </c:pt>
                <c:pt idx="3">
                  <c:v>3.9371977763397965E-2</c:v>
                </c:pt>
                <c:pt idx="4">
                  <c:v>5.3545889758221117E-2</c:v>
                </c:pt>
                <c:pt idx="5">
                  <c:v>0.16956198423436691</c:v>
                </c:pt>
              </c:numCache>
            </c:numRef>
          </c:val>
        </c:ser>
        <c:axId val="126356864"/>
        <c:axId val="126444672"/>
      </c:barChart>
      <c:catAx>
        <c:axId val="126356864"/>
        <c:scaling>
          <c:orientation val="minMax"/>
        </c:scaling>
        <c:axPos val="b"/>
        <c:majorTickMark val="none"/>
        <c:tickLblPos val="nextTo"/>
        <c:crossAx val="126444672"/>
        <c:crosses val="autoZero"/>
        <c:auto val="1"/>
        <c:lblAlgn val="ctr"/>
        <c:lblOffset val="100"/>
      </c:catAx>
      <c:valAx>
        <c:axId val="126444672"/>
        <c:scaling>
          <c:orientation val="minMax"/>
        </c:scaling>
        <c:axPos val="l"/>
        <c:majorGridlines/>
        <c:numFmt formatCode="0" sourceLinked="1"/>
        <c:majorTickMark val="none"/>
        <c:tickLblPos val="nextTo"/>
        <c:crossAx val="126356864"/>
        <c:crosses val="autoZero"/>
        <c:crossBetween val="between"/>
      </c:valAx>
    </c:plotArea>
    <c:plotVisOnly val="1"/>
    <c:dispBlanksAs val="gap"/>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s-EC"/>
  <c:style val="27"/>
  <c:chart>
    <c:title>
      <c:tx>
        <c:rich>
          <a:bodyPr/>
          <a:lstStyle/>
          <a:p>
            <a:pPr>
              <a:defRPr/>
            </a:pPr>
            <a:r>
              <a:rPr lang="es-EC"/>
              <a:t>ESTRUCTURA OPERATIVA</a:t>
            </a:r>
          </a:p>
        </c:rich>
      </c:tx>
    </c:title>
    <c:plotArea>
      <c:layout/>
      <c:barChart>
        <c:barDir val="col"/>
        <c:grouping val="clustered"/>
        <c:ser>
          <c:idx val="0"/>
          <c:order val="0"/>
          <c:cat>
            <c:strRef>
              <c:f>'Estruct. Operativa ER'!$L$23:$L$26</c:f>
              <c:strCache>
                <c:ptCount val="4"/>
                <c:pt idx="0">
                  <c:v>Ventas</c:v>
                </c:pt>
                <c:pt idx="1">
                  <c:v>Costo de Ventas</c:v>
                </c:pt>
                <c:pt idx="2">
                  <c:v>G. Administrativos</c:v>
                </c:pt>
                <c:pt idx="3">
                  <c:v>G. Comerciales</c:v>
                </c:pt>
              </c:strCache>
            </c:strRef>
          </c:cat>
          <c:val>
            <c:numRef>
              <c:f>'Estruct. Operativa ER'!$M$23:$M$26</c:f>
              <c:numCache>
                <c:formatCode>0.00</c:formatCode>
                <c:ptCount val="4"/>
                <c:pt idx="0">
                  <c:v>-0.17617006283398887</c:v>
                </c:pt>
                <c:pt idx="1">
                  <c:v>23.35090972231599</c:v>
                </c:pt>
                <c:pt idx="2">
                  <c:v>-8.1697976889465576</c:v>
                </c:pt>
                <c:pt idx="3">
                  <c:v>-6.4404894327029973</c:v>
                </c:pt>
              </c:numCache>
            </c:numRef>
          </c:val>
        </c:ser>
        <c:axId val="126558592"/>
        <c:axId val="126560128"/>
      </c:barChart>
      <c:catAx>
        <c:axId val="126558592"/>
        <c:scaling>
          <c:orientation val="minMax"/>
        </c:scaling>
        <c:axPos val="b"/>
        <c:majorTickMark val="none"/>
        <c:tickLblPos val="nextTo"/>
        <c:crossAx val="126560128"/>
        <c:crosses val="autoZero"/>
        <c:auto val="1"/>
        <c:lblAlgn val="ctr"/>
        <c:lblOffset val="100"/>
      </c:catAx>
      <c:valAx>
        <c:axId val="126560128"/>
        <c:scaling>
          <c:orientation val="minMax"/>
        </c:scaling>
        <c:axPos val="l"/>
        <c:majorGridlines/>
        <c:numFmt formatCode="0.00" sourceLinked="1"/>
        <c:majorTickMark val="none"/>
        <c:tickLblPos val="nextTo"/>
        <c:crossAx val="126558592"/>
        <c:crosses val="autoZero"/>
        <c:crossBetween val="between"/>
      </c:valAx>
    </c:plotArea>
    <c:plotVisOnly val="1"/>
    <c:dispBlanksAs val="gap"/>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es-EC"/>
  <c:style val="27"/>
  <c:chart>
    <c:title>
      <c:tx>
        <c:rich>
          <a:bodyPr/>
          <a:lstStyle/>
          <a:p>
            <a:pPr>
              <a:defRPr/>
            </a:pPr>
            <a:r>
              <a:rPr lang="es-EC"/>
              <a:t>ESTRUCTURA FINANCIERA</a:t>
            </a:r>
          </a:p>
        </c:rich>
      </c:tx>
    </c:title>
    <c:plotArea>
      <c:layout/>
      <c:barChart>
        <c:barDir val="col"/>
        <c:grouping val="clustered"/>
        <c:ser>
          <c:idx val="0"/>
          <c:order val="0"/>
          <c:cat>
            <c:strRef>
              <c:f>'Estruct. Financiera ER'!$L$21:$L$25</c:f>
              <c:strCache>
                <c:ptCount val="5"/>
                <c:pt idx="0">
                  <c:v>Ing. no Operativos</c:v>
                </c:pt>
                <c:pt idx="1">
                  <c:v>Eg. no Operativos</c:v>
                </c:pt>
                <c:pt idx="2">
                  <c:v>15% P.T</c:v>
                </c:pt>
                <c:pt idx="3">
                  <c:v>24% I.R</c:v>
                </c:pt>
                <c:pt idx="4">
                  <c:v>Utilidad Neta</c:v>
                </c:pt>
              </c:strCache>
            </c:strRef>
          </c:cat>
          <c:val>
            <c:numRef>
              <c:f>'Estruct. Financiera ER'!$M$21:$M$25</c:f>
              <c:numCache>
                <c:formatCode>0.00</c:formatCode>
                <c:ptCount val="5"/>
                <c:pt idx="0">
                  <c:v>44.024585435133105</c:v>
                </c:pt>
                <c:pt idx="1">
                  <c:v>15.004455094210137</c:v>
                </c:pt>
                <c:pt idx="2">
                  <c:v>-145.77859036174817</c:v>
                </c:pt>
                <c:pt idx="3">
                  <c:v>-109.68758551223728</c:v>
                </c:pt>
                <c:pt idx="4">
                  <c:v>159.41201204990941</c:v>
                </c:pt>
              </c:numCache>
            </c:numRef>
          </c:val>
        </c:ser>
        <c:axId val="126567552"/>
        <c:axId val="126569088"/>
      </c:barChart>
      <c:catAx>
        <c:axId val="126567552"/>
        <c:scaling>
          <c:orientation val="minMax"/>
        </c:scaling>
        <c:axPos val="b"/>
        <c:majorTickMark val="none"/>
        <c:tickLblPos val="nextTo"/>
        <c:crossAx val="126569088"/>
        <c:crosses val="autoZero"/>
        <c:auto val="1"/>
        <c:lblAlgn val="ctr"/>
        <c:lblOffset val="100"/>
      </c:catAx>
      <c:valAx>
        <c:axId val="126569088"/>
        <c:scaling>
          <c:orientation val="minMax"/>
        </c:scaling>
        <c:axPos val="l"/>
        <c:majorGridlines/>
        <c:numFmt formatCode="0.00" sourceLinked="1"/>
        <c:majorTickMark val="none"/>
        <c:tickLblPos val="nextTo"/>
        <c:crossAx val="126567552"/>
        <c:crosses val="autoZero"/>
        <c:crossBetween val="between"/>
      </c:valAx>
    </c:plotArea>
    <c:plotVisOnly val="1"/>
    <c:dispBlanksAs val="gap"/>
  </c:chart>
  <c:externalData r:id="rId1"/>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DF08B43-40B0-4150-B732-FF238E649DA2}" type="doc">
      <dgm:prSet loTypeId="urn:microsoft.com/office/officeart/2005/8/layout/hierarchy2" loCatId="hierarchy" qsTypeId="urn:microsoft.com/office/officeart/2005/8/quickstyle/simple3" qsCatId="simple" csTypeId="urn:microsoft.com/office/officeart/2005/8/colors/accent1_2" csCatId="accent1" phldr="1"/>
      <dgm:spPr/>
      <dgm:t>
        <a:bodyPr/>
        <a:lstStyle/>
        <a:p>
          <a:endParaRPr lang="es-EC"/>
        </a:p>
      </dgm:t>
    </dgm:pt>
    <dgm:pt modelId="{AC4CAE37-9F57-4B17-8A6C-BE661FC04C77}">
      <dgm:prSet phldrT="[Texto]" custT="1">
        <dgm:style>
          <a:lnRef idx="1">
            <a:schemeClr val="dk1"/>
          </a:lnRef>
          <a:fillRef idx="2">
            <a:schemeClr val="dk1"/>
          </a:fillRef>
          <a:effectRef idx="1">
            <a:schemeClr val="dk1"/>
          </a:effectRef>
          <a:fontRef idx="minor">
            <a:schemeClr val="dk1"/>
          </a:fontRef>
        </dgm:style>
      </dgm:prSet>
      <dgm:spPr>
        <a:ln/>
      </dgm:spPr>
      <dgm:t>
        <a:bodyPr/>
        <a:lstStyle/>
        <a:p>
          <a:pPr algn="just"/>
          <a:r>
            <a:rPr lang="es-EC" sz="1200" b="1">
              <a:latin typeface="Times New Roman" pitchFamily="18" charset="0"/>
              <a:cs typeface="Times New Roman" pitchFamily="18" charset="0"/>
            </a:rPr>
            <a:t>NORMAS INTERNACIONALES DE INFORMACIÓN FINANCIERA (NIIF).</a:t>
          </a:r>
          <a:endParaRPr lang="es-EC" sz="1200">
            <a:latin typeface="Times New Roman" pitchFamily="18" charset="0"/>
            <a:cs typeface="Times New Roman" pitchFamily="18" charset="0"/>
          </a:endParaRPr>
        </a:p>
      </dgm:t>
    </dgm:pt>
    <dgm:pt modelId="{B1424F7D-3A9B-4E62-9F2D-35BB095EEB90}" type="parTrans" cxnId="{C90EA874-50DC-44C9-B8D9-15DF5410601A}">
      <dgm:prSet/>
      <dgm:spPr/>
      <dgm:t>
        <a:bodyPr/>
        <a:lstStyle/>
        <a:p>
          <a:pPr algn="just"/>
          <a:endParaRPr lang="es-EC" sz="1200">
            <a:latin typeface="Times New Roman" pitchFamily="18" charset="0"/>
            <a:cs typeface="Times New Roman" pitchFamily="18" charset="0"/>
          </a:endParaRPr>
        </a:p>
      </dgm:t>
    </dgm:pt>
    <dgm:pt modelId="{6BAD716F-2FFA-4403-A598-A298123D4F8D}" type="sibTrans" cxnId="{C90EA874-50DC-44C9-B8D9-15DF5410601A}">
      <dgm:prSet/>
      <dgm:spPr/>
      <dgm:t>
        <a:bodyPr/>
        <a:lstStyle/>
        <a:p>
          <a:pPr algn="just"/>
          <a:endParaRPr lang="es-EC" sz="1200">
            <a:latin typeface="Times New Roman" pitchFamily="18" charset="0"/>
            <a:cs typeface="Times New Roman" pitchFamily="18" charset="0"/>
          </a:endParaRPr>
        </a:p>
      </dgm:t>
    </dgm:pt>
    <dgm:pt modelId="{AAF2456E-1BB8-4DD2-9EAE-E2142151313C}">
      <dgm:prSet phldrT="[Texto]" custT="1">
        <dgm:style>
          <a:lnRef idx="2">
            <a:schemeClr val="accent4"/>
          </a:lnRef>
          <a:fillRef idx="1">
            <a:schemeClr val="lt1"/>
          </a:fillRef>
          <a:effectRef idx="0">
            <a:schemeClr val="accent4"/>
          </a:effectRef>
          <a:fontRef idx="minor">
            <a:schemeClr val="dk1"/>
          </a:fontRef>
        </dgm:style>
      </dgm:prSet>
      <dgm:spPr>
        <a:ln/>
      </dgm:spPr>
      <dgm:t>
        <a:bodyPr/>
        <a:lstStyle/>
        <a:p>
          <a:pPr algn="just"/>
          <a:r>
            <a:rPr lang="es-EC" sz="1400" b="1">
              <a:latin typeface="Times New Roman" pitchFamily="18" charset="0"/>
              <a:cs typeface="Times New Roman" pitchFamily="18" charset="0"/>
            </a:rPr>
            <a:t>NIIF 1</a:t>
          </a:r>
          <a:r>
            <a:rPr lang="es-EC" sz="1200" b="1">
              <a:latin typeface="Times New Roman" pitchFamily="18" charset="0"/>
              <a:cs typeface="Times New Roman" pitchFamily="18" charset="0"/>
            </a:rPr>
            <a:t>. </a:t>
          </a:r>
          <a:r>
            <a:rPr lang="es-EC" sz="1200" b="0">
              <a:latin typeface="Times New Roman" pitchFamily="18" charset="0"/>
              <a:cs typeface="Times New Roman" pitchFamily="18" charset="0"/>
            </a:rPr>
            <a:t>Adopción por Primera vez de las Normas Internacionales de Información Financiera</a:t>
          </a:r>
        </a:p>
      </dgm:t>
    </dgm:pt>
    <dgm:pt modelId="{8EB8591C-1DD0-432D-9B8B-8F414295A5CF}" type="parTrans" cxnId="{E97CBD2A-9324-4EDC-969B-F3948F5F2DBC}">
      <dgm:prSet custT="1">
        <dgm:style>
          <a:lnRef idx="1">
            <a:schemeClr val="dk1"/>
          </a:lnRef>
          <a:fillRef idx="0">
            <a:schemeClr val="dk1"/>
          </a:fillRef>
          <a:effectRef idx="0">
            <a:schemeClr val="dk1"/>
          </a:effectRef>
          <a:fontRef idx="minor">
            <a:schemeClr val="tx1"/>
          </a:fontRef>
        </dgm:style>
      </dgm:prSet>
      <dgm:spPr/>
      <dgm:t>
        <a:bodyPr/>
        <a:lstStyle/>
        <a:p>
          <a:pPr algn="just"/>
          <a:endParaRPr lang="es-EC" sz="1200">
            <a:latin typeface="Times New Roman" pitchFamily="18" charset="0"/>
            <a:cs typeface="Times New Roman" pitchFamily="18" charset="0"/>
          </a:endParaRPr>
        </a:p>
      </dgm:t>
    </dgm:pt>
    <dgm:pt modelId="{074B26AA-A4D7-4C78-BD99-9D1144484FE7}" type="sibTrans" cxnId="{E97CBD2A-9324-4EDC-969B-F3948F5F2DBC}">
      <dgm:prSet/>
      <dgm:spPr/>
      <dgm:t>
        <a:bodyPr/>
        <a:lstStyle/>
        <a:p>
          <a:pPr algn="just"/>
          <a:endParaRPr lang="es-EC" sz="1200">
            <a:latin typeface="Times New Roman" pitchFamily="18" charset="0"/>
            <a:cs typeface="Times New Roman" pitchFamily="18" charset="0"/>
          </a:endParaRPr>
        </a:p>
      </dgm:t>
    </dgm:pt>
    <dgm:pt modelId="{60BA6AE7-A9D0-41BD-9789-778AF37AFB36}">
      <dgm:prSet phldrT="[Texto]" custT="1">
        <dgm:style>
          <a:lnRef idx="2">
            <a:schemeClr val="accent4"/>
          </a:lnRef>
          <a:fillRef idx="1">
            <a:schemeClr val="lt1"/>
          </a:fillRef>
          <a:effectRef idx="0">
            <a:schemeClr val="accent4"/>
          </a:effectRef>
          <a:fontRef idx="minor">
            <a:schemeClr val="dk1"/>
          </a:fontRef>
        </dgm:style>
      </dgm:prSet>
      <dgm:spPr>
        <a:ln>
          <a:solidFill>
            <a:srgbClr val="FF6600"/>
          </a:solidFill>
        </a:ln>
      </dgm:spPr>
      <dgm:t>
        <a:bodyPr/>
        <a:lstStyle/>
        <a:p>
          <a:pPr algn="just"/>
          <a:r>
            <a:rPr lang="es-EC" sz="1400" b="1">
              <a:latin typeface="Times New Roman" pitchFamily="18" charset="0"/>
              <a:cs typeface="Times New Roman" pitchFamily="18" charset="0"/>
            </a:rPr>
            <a:t>NIIF 3. </a:t>
          </a:r>
          <a:r>
            <a:rPr lang="es-EC" sz="1200" b="0">
              <a:latin typeface="Times New Roman" pitchFamily="18" charset="0"/>
              <a:cs typeface="Times New Roman" pitchFamily="18" charset="0"/>
            </a:rPr>
            <a:t>Combinaciones de Negocios</a:t>
          </a:r>
        </a:p>
      </dgm:t>
    </dgm:pt>
    <dgm:pt modelId="{6334BA85-692C-4F08-AC98-9508EB544A22}" type="parTrans" cxnId="{9120C1E7-3DC8-4697-93F5-60358698BA1D}">
      <dgm:prSet custT="1">
        <dgm:style>
          <a:lnRef idx="1">
            <a:schemeClr val="dk1"/>
          </a:lnRef>
          <a:fillRef idx="0">
            <a:schemeClr val="dk1"/>
          </a:fillRef>
          <a:effectRef idx="0">
            <a:schemeClr val="dk1"/>
          </a:effectRef>
          <a:fontRef idx="minor">
            <a:schemeClr val="tx1"/>
          </a:fontRef>
        </dgm:style>
      </dgm:prSet>
      <dgm:spPr/>
      <dgm:t>
        <a:bodyPr/>
        <a:lstStyle/>
        <a:p>
          <a:pPr algn="just"/>
          <a:endParaRPr lang="es-EC" sz="1200">
            <a:latin typeface="Times New Roman" pitchFamily="18" charset="0"/>
            <a:cs typeface="Times New Roman" pitchFamily="18" charset="0"/>
          </a:endParaRPr>
        </a:p>
      </dgm:t>
    </dgm:pt>
    <dgm:pt modelId="{4D9A98B9-3E49-4B09-B8B7-CADF5C2A2EFA}" type="sibTrans" cxnId="{9120C1E7-3DC8-4697-93F5-60358698BA1D}">
      <dgm:prSet/>
      <dgm:spPr/>
      <dgm:t>
        <a:bodyPr/>
        <a:lstStyle/>
        <a:p>
          <a:pPr algn="just"/>
          <a:endParaRPr lang="es-EC" sz="1200">
            <a:latin typeface="Times New Roman" pitchFamily="18" charset="0"/>
            <a:cs typeface="Times New Roman" pitchFamily="18" charset="0"/>
          </a:endParaRPr>
        </a:p>
      </dgm:t>
    </dgm:pt>
    <dgm:pt modelId="{69269DDD-B232-408B-A872-90C766F11386}">
      <dgm:prSet custT="1">
        <dgm:style>
          <a:lnRef idx="2">
            <a:schemeClr val="accent3"/>
          </a:lnRef>
          <a:fillRef idx="1">
            <a:schemeClr val="lt1"/>
          </a:fillRef>
          <a:effectRef idx="0">
            <a:schemeClr val="accent3"/>
          </a:effectRef>
          <a:fontRef idx="minor">
            <a:schemeClr val="dk1"/>
          </a:fontRef>
        </dgm:style>
      </dgm:prSet>
      <dgm:spPr>
        <a:ln>
          <a:solidFill>
            <a:srgbClr val="FFFF00"/>
          </a:solidFill>
        </a:ln>
      </dgm:spPr>
      <dgm:t>
        <a:bodyPr/>
        <a:lstStyle/>
        <a:p>
          <a:pPr algn="just"/>
          <a:r>
            <a:rPr lang="es-EC" sz="1400" b="1">
              <a:latin typeface="Times New Roman" pitchFamily="18" charset="0"/>
              <a:cs typeface="Times New Roman" pitchFamily="18" charset="0"/>
            </a:rPr>
            <a:t>NIIF 2. </a:t>
          </a:r>
          <a:r>
            <a:rPr lang="es-EC" sz="1200" b="0">
              <a:latin typeface="Times New Roman" pitchFamily="18" charset="0"/>
              <a:cs typeface="Times New Roman" pitchFamily="18" charset="0"/>
            </a:rPr>
            <a:t>Pagos Basados en Acciones</a:t>
          </a:r>
        </a:p>
      </dgm:t>
    </dgm:pt>
    <dgm:pt modelId="{3E9584B8-8DEB-4BAC-95BB-0C6EA2AA8D6D}" type="parTrans" cxnId="{10D785E7-1D76-47D6-AC9F-55F1EC157E1F}">
      <dgm:prSet custT="1">
        <dgm:style>
          <a:lnRef idx="1">
            <a:schemeClr val="dk1"/>
          </a:lnRef>
          <a:fillRef idx="0">
            <a:schemeClr val="dk1"/>
          </a:fillRef>
          <a:effectRef idx="0">
            <a:schemeClr val="dk1"/>
          </a:effectRef>
          <a:fontRef idx="minor">
            <a:schemeClr val="tx1"/>
          </a:fontRef>
        </dgm:style>
      </dgm:prSet>
      <dgm:spPr/>
      <dgm:t>
        <a:bodyPr/>
        <a:lstStyle/>
        <a:p>
          <a:pPr algn="just"/>
          <a:endParaRPr lang="es-EC" sz="1200">
            <a:latin typeface="Times New Roman" pitchFamily="18" charset="0"/>
            <a:cs typeface="Times New Roman" pitchFamily="18" charset="0"/>
          </a:endParaRPr>
        </a:p>
      </dgm:t>
    </dgm:pt>
    <dgm:pt modelId="{06B8B3E3-0D64-4670-8DC4-7AB5A461866A}" type="sibTrans" cxnId="{10D785E7-1D76-47D6-AC9F-55F1EC157E1F}">
      <dgm:prSet/>
      <dgm:spPr/>
      <dgm:t>
        <a:bodyPr/>
        <a:lstStyle/>
        <a:p>
          <a:pPr algn="just"/>
          <a:endParaRPr lang="es-EC" sz="1200">
            <a:latin typeface="Times New Roman" pitchFamily="18" charset="0"/>
            <a:cs typeface="Times New Roman" pitchFamily="18" charset="0"/>
          </a:endParaRPr>
        </a:p>
      </dgm:t>
    </dgm:pt>
    <dgm:pt modelId="{1C90A126-C815-4D25-BDE8-E22A83B984FF}">
      <dgm:prSet custT="1">
        <dgm:style>
          <a:lnRef idx="2">
            <a:schemeClr val="accent6"/>
          </a:lnRef>
          <a:fillRef idx="1">
            <a:schemeClr val="lt1"/>
          </a:fillRef>
          <a:effectRef idx="0">
            <a:schemeClr val="accent6"/>
          </a:effectRef>
          <a:fontRef idx="minor">
            <a:schemeClr val="dk1"/>
          </a:fontRef>
        </dgm:style>
      </dgm:prSet>
      <dgm:spPr/>
      <dgm:t>
        <a:bodyPr/>
        <a:lstStyle/>
        <a:p>
          <a:pPr algn="just"/>
          <a:r>
            <a:rPr lang="es-EC" sz="1400" b="1">
              <a:latin typeface="Times New Roman" pitchFamily="18" charset="0"/>
              <a:cs typeface="Times New Roman" pitchFamily="18" charset="0"/>
            </a:rPr>
            <a:t>NIIF 4</a:t>
          </a:r>
          <a:r>
            <a:rPr lang="es-EC" sz="1200">
              <a:latin typeface="Times New Roman" pitchFamily="18" charset="0"/>
              <a:cs typeface="Times New Roman" pitchFamily="18" charset="0"/>
            </a:rPr>
            <a:t>. Contratos de Seguro</a:t>
          </a:r>
        </a:p>
      </dgm:t>
    </dgm:pt>
    <dgm:pt modelId="{8D6D7A64-DC23-41AF-A147-99DED1DA24D7}" type="parTrans" cxnId="{8260B34E-6364-4FEC-9084-686F5AEA793B}">
      <dgm:prSet custT="1">
        <dgm:style>
          <a:lnRef idx="1">
            <a:schemeClr val="dk1"/>
          </a:lnRef>
          <a:fillRef idx="0">
            <a:schemeClr val="dk1"/>
          </a:fillRef>
          <a:effectRef idx="0">
            <a:schemeClr val="dk1"/>
          </a:effectRef>
          <a:fontRef idx="minor">
            <a:schemeClr val="tx1"/>
          </a:fontRef>
        </dgm:style>
      </dgm:prSet>
      <dgm:spPr>
        <a:ln>
          <a:solidFill>
            <a:schemeClr val="tx1"/>
          </a:solidFill>
        </a:ln>
      </dgm:spPr>
      <dgm:t>
        <a:bodyPr/>
        <a:lstStyle/>
        <a:p>
          <a:pPr algn="just"/>
          <a:endParaRPr lang="es-EC" sz="1200">
            <a:latin typeface="Times New Roman" pitchFamily="18" charset="0"/>
            <a:cs typeface="Times New Roman" pitchFamily="18" charset="0"/>
          </a:endParaRPr>
        </a:p>
      </dgm:t>
    </dgm:pt>
    <dgm:pt modelId="{C81FF932-895B-4099-94BF-1E8F717B5853}" type="sibTrans" cxnId="{8260B34E-6364-4FEC-9084-686F5AEA793B}">
      <dgm:prSet/>
      <dgm:spPr/>
      <dgm:t>
        <a:bodyPr/>
        <a:lstStyle/>
        <a:p>
          <a:pPr algn="just"/>
          <a:endParaRPr lang="es-EC" sz="1200">
            <a:latin typeface="Times New Roman" pitchFamily="18" charset="0"/>
            <a:cs typeface="Times New Roman" pitchFamily="18" charset="0"/>
          </a:endParaRPr>
        </a:p>
      </dgm:t>
    </dgm:pt>
    <dgm:pt modelId="{1A658784-AF6C-43DD-BA4E-20A3B8E68CDB}">
      <dgm:prSet custT="1">
        <dgm:style>
          <a:lnRef idx="2">
            <a:schemeClr val="accent3"/>
          </a:lnRef>
          <a:fillRef idx="1">
            <a:schemeClr val="lt1"/>
          </a:fillRef>
          <a:effectRef idx="0">
            <a:schemeClr val="accent3"/>
          </a:effectRef>
          <a:fontRef idx="minor">
            <a:schemeClr val="dk1"/>
          </a:fontRef>
        </dgm:style>
      </dgm:prSet>
      <dgm:spPr/>
      <dgm:t>
        <a:bodyPr/>
        <a:lstStyle/>
        <a:p>
          <a:pPr algn="just"/>
          <a:r>
            <a:rPr lang="es-EC" sz="1400" b="1">
              <a:latin typeface="Times New Roman" pitchFamily="18" charset="0"/>
              <a:cs typeface="Times New Roman" pitchFamily="18" charset="0"/>
            </a:rPr>
            <a:t>NIIF 5.</a:t>
          </a:r>
          <a:r>
            <a:rPr lang="es-EC" sz="1200">
              <a:latin typeface="Times New Roman" pitchFamily="18" charset="0"/>
              <a:cs typeface="Times New Roman" pitchFamily="18" charset="0"/>
            </a:rPr>
            <a:t> Activos no Corrientes Mantenidos para la Venta y Operaciones Discontinuadas.</a:t>
          </a:r>
        </a:p>
      </dgm:t>
    </dgm:pt>
    <dgm:pt modelId="{103934F5-E7C9-499A-BD68-21FA4769A675}" type="parTrans" cxnId="{D0D58C33-118D-43FC-87D2-AC14DA255099}">
      <dgm:prSet custT="1">
        <dgm:style>
          <a:lnRef idx="1">
            <a:schemeClr val="dk1"/>
          </a:lnRef>
          <a:fillRef idx="0">
            <a:schemeClr val="dk1"/>
          </a:fillRef>
          <a:effectRef idx="0">
            <a:schemeClr val="dk1"/>
          </a:effectRef>
          <a:fontRef idx="minor">
            <a:schemeClr val="tx1"/>
          </a:fontRef>
        </dgm:style>
      </dgm:prSet>
      <dgm:spPr>
        <a:ln>
          <a:solidFill>
            <a:schemeClr val="tx1"/>
          </a:solidFill>
        </a:ln>
      </dgm:spPr>
      <dgm:t>
        <a:bodyPr/>
        <a:lstStyle/>
        <a:p>
          <a:pPr algn="just"/>
          <a:endParaRPr lang="es-EC" sz="1200">
            <a:latin typeface="Times New Roman" pitchFamily="18" charset="0"/>
            <a:cs typeface="Times New Roman" pitchFamily="18" charset="0"/>
          </a:endParaRPr>
        </a:p>
      </dgm:t>
    </dgm:pt>
    <dgm:pt modelId="{FAF00018-9011-4E56-998C-CD6194637DAC}" type="sibTrans" cxnId="{D0D58C33-118D-43FC-87D2-AC14DA255099}">
      <dgm:prSet/>
      <dgm:spPr/>
      <dgm:t>
        <a:bodyPr/>
        <a:lstStyle/>
        <a:p>
          <a:pPr algn="just"/>
          <a:endParaRPr lang="es-EC" sz="1200">
            <a:latin typeface="Times New Roman" pitchFamily="18" charset="0"/>
            <a:cs typeface="Times New Roman" pitchFamily="18" charset="0"/>
          </a:endParaRPr>
        </a:p>
      </dgm:t>
    </dgm:pt>
    <dgm:pt modelId="{9D66DCCF-1201-4481-BB8A-695A3CB229D5}">
      <dgm:prSet custT="1">
        <dgm:style>
          <a:lnRef idx="2">
            <a:schemeClr val="accent5"/>
          </a:lnRef>
          <a:fillRef idx="1">
            <a:schemeClr val="lt1"/>
          </a:fillRef>
          <a:effectRef idx="0">
            <a:schemeClr val="accent5"/>
          </a:effectRef>
          <a:fontRef idx="minor">
            <a:schemeClr val="dk1"/>
          </a:fontRef>
        </dgm:style>
      </dgm:prSet>
      <dgm:spPr>
        <a:ln/>
      </dgm:spPr>
      <dgm:t>
        <a:bodyPr/>
        <a:lstStyle/>
        <a:p>
          <a:pPr algn="just"/>
          <a:r>
            <a:rPr lang="es-EC" sz="1400" b="1">
              <a:latin typeface="Times New Roman" pitchFamily="18" charset="0"/>
              <a:cs typeface="Times New Roman" pitchFamily="18" charset="0"/>
            </a:rPr>
            <a:t>NIIF 6. </a:t>
          </a:r>
          <a:r>
            <a:rPr lang="es-EC" sz="1200">
              <a:latin typeface="Times New Roman" pitchFamily="18" charset="0"/>
              <a:cs typeface="Times New Roman" pitchFamily="18" charset="0"/>
            </a:rPr>
            <a:t>Exploración y Evaluación de Recursos Minerales.</a:t>
          </a:r>
        </a:p>
      </dgm:t>
    </dgm:pt>
    <dgm:pt modelId="{644FDF47-B42F-4E99-A297-41F7F22CCD51}" type="parTrans" cxnId="{F45879D3-51A4-4DB1-AF62-D23051BA2E5E}">
      <dgm:prSet custT="1">
        <dgm:style>
          <a:lnRef idx="1">
            <a:schemeClr val="dk1"/>
          </a:lnRef>
          <a:fillRef idx="0">
            <a:schemeClr val="dk1"/>
          </a:fillRef>
          <a:effectRef idx="0">
            <a:schemeClr val="dk1"/>
          </a:effectRef>
          <a:fontRef idx="minor">
            <a:schemeClr val="tx1"/>
          </a:fontRef>
        </dgm:style>
      </dgm:prSet>
      <dgm:spPr>
        <a:ln>
          <a:solidFill>
            <a:schemeClr val="tx1"/>
          </a:solidFill>
        </a:ln>
      </dgm:spPr>
      <dgm:t>
        <a:bodyPr/>
        <a:lstStyle/>
        <a:p>
          <a:pPr algn="just"/>
          <a:endParaRPr lang="es-EC" sz="1200">
            <a:latin typeface="Times New Roman" pitchFamily="18" charset="0"/>
            <a:cs typeface="Times New Roman" pitchFamily="18" charset="0"/>
          </a:endParaRPr>
        </a:p>
      </dgm:t>
    </dgm:pt>
    <dgm:pt modelId="{13975FA4-D810-4B0F-8406-06888E299FF9}" type="sibTrans" cxnId="{F45879D3-51A4-4DB1-AF62-D23051BA2E5E}">
      <dgm:prSet/>
      <dgm:spPr/>
      <dgm:t>
        <a:bodyPr/>
        <a:lstStyle/>
        <a:p>
          <a:pPr algn="just"/>
          <a:endParaRPr lang="es-EC" sz="1200">
            <a:latin typeface="Times New Roman" pitchFamily="18" charset="0"/>
            <a:cs typeface="Times New Roman" pitchFamily="18" charset="0"/>
          </a:endParaRPr>
        </a:p>
      </dgm:t>
    </dgm:pt>
    <dgm:pt modelId="{5E5423C4-5EC4-4DF2-A711-C42C2D6BF7A1}">
      <dgm:prSet custT="1">
        <dgm:style>
          <a:lnRef idx="2">
            <a:schemeClr val="accent1"/>
          </a:lnRef>
          <a:fillRef idx="1">
            <a:schemeClr val="lt1"/>
          </a:fillRef>
          <a:effectRef idx="0">
            <a:schemeClr val="accent1"/>
          </a:effectRef>
          <a:fontRef idx="minor">
            <a:schemeClr val="dk1"/>
          </a:fontRef>
        </dgm:style>
      </dgm:prSet>
      <dgm:spPr/>
      <dgm:t>
        <a:bodyPr/>
        <a:lstStyle/>
        <a:p>
          <a:pPr algn="just"/>
          <a:r>
            <a:rPr lang="es-EC" sz="1400" b="1">
              <a:latin typeface="Times New Roman" pitchFamily="18" charset="0"/>
              <a:cs typeface="Times New Roman" pitchFamily="18" charset="0"/>
            </a:rPr>
            <a:t>NIIF 7. </a:t>
          </a:r>
          <a:r>
            <a:rPr lang="es-EC" sz="1200">
              <a:latin typeface="Times New Roman" pitchFamily="18" charset="0"/>
              <a:cs typeface="Times New Roman" pitchFamily="18" charset="0"/>
            </a:rPr>
            <a:t>Instrumentos Financieros: Información a Revelar.</a:t>
          </a:r>
        </a:p>
      </dgm:t>
    </dgm:pt>
    <dgm:pt modelId="{AF193331-1625-4F49-8066-4E5BB97A0EDF}" type="parTrans" cxnId="{1924795B-09E3-4477-902C-C2237EF82F27}">
      <dgm:prSet custT="1">
        <dgm:style>
          <a:lnRef idx="1">
            <a:schemeClr val="dk1"/>
          </a:lnRef>
          <a:fillRef idx="0">
            <a:schemeClr val="dk1"/>
          </a:fillRef>
          <a:effectRef idx="0">
            <a:schemeClr val="dk1"/>
          </a:effectRef>
          <a:fontRef idx="minor">
            <a:schemeClr val="tx1"/>
          </a:fontRef>
        </dgm:style>
      </dgm:prSet>
      <dgm:spPr>
        <a:ln>
          <a:solidFill>
            <a:schemeClr val="tx1"/>
          </a:solidFill>
        </a:ln>
      </dgm:spPr>
      <dgm:t>
        <a:bodyPr/>
        <a:lstStyle/>
        <a:p>
          <a:pPr algn="just"/>
          <a:endParaRPr lang="es-EC" sz="1200">
            <a:latin typeface="Times New Roman" pitchFamily="18" charset="0"/>
            <a:cs typeface="Times New Roman" pitchFamily="18" charset="0"/>
          </a:endParaRPr>
        </a:p>
      </dgm:t>
    </dgm:pt>
    <dgm:pt modelId="{EFBA659F-F7BE-41D1-9941-09BEB31B500A}" type="sibTrans" cxnId="{1924795B-09E3-4477-902C-C2237EF82F27}">
      <dgm:prSet/>
      <dgm:spPr/>
      <dgm:t>
        <a:bodyPr/>
        <a:lstStyle/>
        <a:p>
          <a:pPr algn="just"/>
          <a:endParaRPr lang="es-EC" sz="1200">
            <a:latin typeface="Times New Roman" pitchFamily="18" charset="0"/>
            <a:cs typeface="Times New Roman" pitchFamily="18" charset="0"/>
          </a:endParaRPr>
        </a:p>
      </dgm:t>
    </dgm:pt>
    <dgm:pt modelId="{C81873CF-93CD-40D8-812C-60B0892D8108}">
      <dgm:prSet custT="1">
        <dgm:style>
          <a:lnRef idx="2">
            <a:schemeClr val="accent6"/>
          </a:lnRef>
          <a:fillRef idx="1">
            <a:schemeClr val="lt1"/>
          </a:fillRef>
          <a:effectRef idx="0">
            <a:schemeClr val="accent6"/>
          </a:effectRef>
          <a:fontRef idx="minor">
            <a:schemeClr val="dk1"/>
          </a:fontRef>
        </dgm:style>
      </dgm:prSet>
      <dgm:spPr>
        <a:ln>
          <a:solidFill>
            <a:srgbClr val="7030A0"/>
          </a:solidFill>
        </a:ln>
      </dgm:spPr>
      <dgm:t>
        <a:bodyPr/>
        <a:lstStyle/>
        <a:p>
          <a:pPr algn="just"/>
          <a:r>
            <a:rPr lang="es-EC" sz="1400" b="1">
              <a:latin typeface="Times New Roman" pitchFamily="18" charset="0"/>
              <a:cs typeface="Times New Roman" pitchFamily="18" charset="0"/>
            </a:rPr>
            <a:t>NIIF 8. </a:t>
          </a:r>
          <a:r>
            <a:rPr lang="es-EC" sz="1200">
              <a:latin typeface="Times New Roman" pitchFamily="18" charset="0"/>
              <a:cs typeface="Times New Roman" pitchFamily="18" charset="0"/>
            </a:rPr>
            <a:t>Segmentos de Operación.</a:t>
          </a:r>
        </a:p>
      </dgm:t>
    </dgm:pt>
    <dgm:pt modelId="{A0F56F3D-AB63-4B35-9003-C2F4AF2EF5E2}" type="parTrans" cxnId="{9A60A436-94DA-45E4-AE16-47EC32608003}">
      <dgm:prSet custT="1">
        <dgm:style>
          <a:lnRef idx="1">
            <a:schemeClr val="dk1"/>
          </a:lnRef>
          <a:fillRef idx="0">
            <a:schemeClr val="dk1"/>
          </a:fillRef>
          <a:effectRef idx="0">
            <a:schemeClr val="dk1"/>
          </a:effectRef>
          <a:fontRef idx="minor">
            <a:schemeClr val="tx1"/>
          </a:fontRef>
        </dgm:style>
      </dgm:prSet>
      <dgm:spPr>
        <a:ln>
          <a:solidFill>
            <a:schemeClr val="tx1"/>
          </a:solidFill>
        </a:ln>
      </dgm:spPr>
      <dgm:t>
        <a:bodyPr/>
        <a:lstStyle/>
        <a:p>
          <a:pPr algn="just"/>
          <a:endParaRPr lang="es-EC" sz="1200">
            <a:latin typeface="Times New Roman" pitchFamily="18" charset="0"/>
            <a:cs typeface="Times New Roman" pitchFamily="18" charset="0"/>
          </a:endParaRPr>
        </a:p>
      </dgm:t>
    </dgm:pt>
    <dgm:pt modelId="{8DA7015A-C414-42BA-9E04-A59C3BB1A1C1}" type="sibTrans" cxnId="{9A60A436-94DA-45E4-AE16-47EC32608003}">
      <dgm:prSet/>
      <dgm:spPr/>
      <dgm:t>
        <a:bodyPr/>
        <a:lstStyle/>
        <a:p>
          <a:pPr algn="just"/>
          <a:endParaRPr lang="es-EC" sz="1200">
            <a:latin typeface="Times New Roman" pitchFamily="18" charset="0"/>
            <a:cs typeface="Times New Roman" pitchFamily="18" charset="0"/>
          </a:endParaRPr>
        </a:p>
      </dgm:t>
    </dgm:pt>
    <dgm:pt modelId="{9656168F-C327-49EC-98AA-2DD338F6A1C1}">
      <dgm:prSet custT="1">
        <dgm:style>
          <a:lnRef idx="2">
            <a:schemeClr val="accent2"/>
          </a:lnRef>
          <a:fillRef idx="1">
            <a:schemeClr val="lt1"/>
          </a:fillRef>
          <a:effectRef idx="0">
            <a:schemeClr val="accent2"/>
          </a:effectRef>
          <a:fontRef idx="minor">
            <a:schemeClr val="dk1"/>
          </a:fontRef>
        </dgm:style>
      </dgm:prSet>
      <dgm:spPr>
        <a:ln>
          <a:solidFill>
            <a:srgbClr val="FF00FF"/>
          </a:solidFill>
        </a:ln>
      </dgm:spPr>
      <dgm:t>
        <a:bodyPr/>
        <a:lstStyle/>
        <a:p>
          <a:pPr algn="just"/>
          <a:r>
            <a:rPr lang="es-EC" sz="1400" b="1">
              <a:latin typeface="Times New Roman" pitchFamily="18" charset="0"/>
              <a:cs typeface="Times New Roman" pitchFamily="18" charset="0"/>
            </a:rPr>
            <a:t>NIIF 9. </a:t>
          </a:r>
          <a:r>
            <a:rPr lang="es-EC" sz="1200">
              <a:latin typeface="Times New Roman" pitchFamily="18" charset="0"/>
              <a:cs typeface="Times New Roman" pitchFamily="18" charset="0"/>
            </a:rPr>
            <a:t>Instrumentos Financieros.</a:t>
          </a:r>
        </a:p>
      </dgm:t>
    </dgm:pt>
    <dgm:pt modelId="{0FAB2C75-C356-4EAE-9478-8A7ADC98E138}" type="parTrans" cxnId="{91E78E54-8BF9-4F5E-B278-1FD417A84E9A}">
      <dgm:prSet custT="1">
        <dgm:style>
          <a:lnRef idx="1">
            <a:schemeClr val="dk1"/>
          </a:lnRef>
          <a:fillRef idx="0">
            <a:schemeClr val="dk1"/>
          </a:fillRef>
          <a:effectRef idx="0">
            <a:schemeClr val="dk1"/>
          </a:effectRef>
          <a:fontRef idx="minor">
            <a:schemeClr val="tx1"/>
          </a:fontRef>
        </dgm:style>
      </dgm:prSet>
      <dgm:spPr>
        <a:ln>
          <a:solidFill>
            <a:schemeClr val="tx1"/>
          </a:solidFill>
        </a:ln>
      </dgm:spPr>
      <dgm:t>
        <a:bodyPr/>
        <a:lstStyle/>
        <a:p>
          <a:pPr algn="just"/>
          <a:endParaRPr lang="es-EC" sz="1200">
            <a:latin typeface="Times New Roman" pitchFamily="18" charset="0"/>
            <a:cs typeface="Times New Roman" pitchFamily="18" charset="0"/>
          </a:endParaRPr>
        </a:p>
      </dgm:t>
    </dgm:pt>
    <dgm:pt modelId="{0357CE24-2E65-493A-92E1-C084FC431589}" type="sibTrans" cxnId="{91E78E54-8BF9-4F5E-B278-1FD417A84E9A}">
      <dgm:prSet/>
      <dgm:spPr/>
      <dgm:t>
        <a:bodyPr/>
        <a:lstStyle/>
        <a:p>
          <a:pPr algn="just"/>
          <a:endParaRPr lang="es-EC" sz="1200">
            <a:latin typeface="Times New Roman" pitchFamily="18" charset="0"/>
            <a:cs typeface="Times New Roman" pitchFamily="18" charset="0"/>
          </a:endParaRPr>
        </a:p>
      </dgm:t>
    </dgm:pt>
    <dgm:pt modelId="{0B2B4E98-7992-432D-899A-8D16C8DF003C}">
      <dgm:prSet custT="1">
        <dgm:style>
          <a:lnRef idx="2">
            <a:schemeClr val="accent2"/>
          </a:lnRef>
          <a:fillRef idx="1">
            <a:schemeClr val="lt1"/>
          </a:fillRef>
          <a:effectRef idx="0">
            <a:schemeClr val="accent2"/>
          </a:effectRef>
          <a:fontRef idx="minor">
            <a:schemeClr val="dk1"/>
          </a:fontRef>
        </dgm:style>
      </dgm:prSet>
      <dgm:spPr>
        <a:ln>
          <a:solidFill>
            <a:srgbClr val="66FFFF"/>
          </a:solidFill>
        </a:ln>
      </dgm:spPr>
      <dgm:t>
        <a:bodyPr/>
        <a:lstStyle/>
        <a:p>
          <a:pPr algn="just"/>
          <a:r>
            <a:rPr lang="es-EC" sz="1400" b="1">
              <a:latin typeface="Times New Roman" pitchFamily="18" charset="0"/>
              <a:cs typeface="Times New Roman" pitchFamily="18" charset="0"/>
            </a:rPr>
            <a:t>NIIF 10</a:t>
          </a:r>
          <a:r>
            <a:rPr lang="es-EC" sz="1200">
              <a:latin typeface="Times New Roman" pitchFamily="18" charset="0"/>
              <a:cs typeface="Times New Roman" pitchFamily="18" charset="0"/>
            </a:rPr>
            <a:t>. Estados Financieros Consolidados.</a:t>
          </a:r>
        </a:p>
      </dgm:t>
    </dgm:pt>
    <dgm:pt modelId="{F403FFEE-414A-4892-A693-FDBC8BE25967}" type="parTrans" cxnId="{1B5385A1-CA85-49D3-84E9-2691B14862E4}">
      <dgm:prSet custT="1">
        <dgm:style>
          <a:lnRef idx="1">
            <a:schemeClr val="dk1"/>
          </a:lnRef>
          <a:fillRef idx="0">
            <a:schemeClr val="dk1"/>
          </a:fillRef>
          <a:effectRef idx="0">
            <a:schemeClr val="dk1"/>
          </a:effectRef>
          <a:fontRef idx="minor">
            <a:schemeClr val="tx1"/>
          </a:fontRef>
        </dgm:style>
      </dgm:prSet>
      <dgm:spPr>
        <a:ln>
          <a:solidFill>
            <a:schemeClr val="tx1"/>
          </a:solidFill>
        </a:ln>
      </dgm:spPr>
      <dgm:t>
        <a:bodyPr/>
        <a:lstStyle/>
        <a:p>
          <a:pPr algn="just"/>
          <a:endParaRPr lang="es-EC" sz="1200">
            <a:latin typeface="Times New Roman" pitchFamily="18" charset="0"/>
            <a:cs typeface="Times New Roman" pitchFamily="18" charset="0"/>
          </a:endParaRPr>
        </a:p>
      </dgm:t>
    </dgm:pt>
    <dgm:pt modelId="{46480BEE-75E3-4B76-86A7-45EC58C1BB81}" type="sibTrans" cxnId="{1B5385A1-CA85-49D3-84E9-2691B14862E4}">
      <dgm:prSet/>
      <dgm:spPr/>
      <dgm:t>
        <a:bodyPr/>
        <a:lstStyle/>
        <a:p>
          <a:pPr algn="just"/>
          <a:endParaRPr lang="es-EC" sz="1200">
            <a:latin typeface="Times New Roman" pitchFamily="18" charset="0"/>
            <a:cs typeface="Times New Roman" pitchFamily="18" charset="0"/>
          </a:endParaRPr>
        </a:p>
      </dgm:t>
    </dgm:pt>
    <dgm:pt modelId="{CACDF775-4967-4042-BFDD-33310B7EB9C5}">
      <dgm:prSet custT="1">
        <dgm:style>
          <a:lnRef idx="2">
            <a:schemeClr val="accent2"/>
          </a:lnRef>
          <a:fillRef idx="1">
            <a:schemeClr val="lt1"/>
          </a:fillRef>
          <a:effectRef idx="0">
            <a:schemeClr val="accent2"/>
          </a:effectRef>
          <a:fontRef idx="minor">
            <a:schemeClr val="dk1"/>
          </a:fontRef>
        </dgm:style>
      </dgm:prSet>
      <dgm:spPr>
        <a:ln>
          <a:solidFill>
            <a:srgbClr val="FF99CC"/>
          </a:solidFill>
        </a:ln>
      </dgm:spPr>
      <dgm:t>
        <a:bodyPr/>
        <a:lstStyle/>
        <a:p>
          <a:pPr algn="just"/>
          <a:r>
            <a:rPr lang="es-EC" sz="1400" b="1">
              <a:latin typeface="Times New Roman" pitchFamily="18" charset="0"/>
              <a:cs typeface="Times New Roman" pitchFamily="18" charset="0"/>
            </a:rPr>
            <a:t>NIIF 11</a:t>
          </a:r>
          <a:r>
            <a:rPr lang="es-EC" sz="1200">
              <a:latin typeface="Times New Roman" pitchFamily="18" charset="0"/>
              <a:cs typeface="Times New Roman" pitchFamily="18" charset="0"/>
            </a:rPr>
            <a:t>. Acuerdos Conjuntos</a:t>
          </a:r>
        </a:p>
      </dgm:t>
    </dgm:pt>
    <dgm:pt modelId="{7A231FBA-325B-4A17-A5F6-9FB9D2A79A40}" type="parTrans" cxnId="{3114A097-7E57-4417-98E0-38A3D0A374C9}">
      <dgm:prSet custT="1">
        <dgm:style>
          <a:lnRef idx="1">
            <a:schemeClr val="dk1"/>
          </a:lnRef>
          <a:fillRef idx="0">
            <a:schemeClr val="dk1"/>
          </a:fillRef>
          <a:effectRef idx="0">
            <a:schemeClr val="dk1"/>
          </a:effectRef>
          <a:fontRef idx="minor">
            <a:schemeClr val="tx1"/>
          </a:fontRef>
        </dgm:style>
      </dgm:prSet>
      <dgm:spPr>
        <a:ln>
          <a:solidFill>
            <a:schemeClr val="tx1"/>
          </a:solidFill>
        </a:ln>
      </dgm:spPr>
      <dgm:t>
        <a:bodyPr/>
        <a:lstStyle/>
        <a:p>
          <a:pPr algn="just"/>
          <a:endParaRPr lang="es-EC" sz="1200">
            <a:latin typeface="Times New Roman" pitchFamily="18" charset="0"/>
            <a:cs typeface="Times New Roman" pitchFamily="18" charset="0"/>
          </a:endParaRPr>
        </a:p>
      </dgm:t>
    </dgm:pt>
    <dgm:pt modelId="{8A56BDBA-C86A-4F54-A619-42BF690E183A}" type="sibTrans" cxnId="{3114A097-7E57-4417-98E0-38A3D0A374C9}">
      <dgm:prSet/>
      <dgm:spPr/>
      <dgm:t>
        <a:bodyPr/>
        <a:lstStyle/>
        <a:p>
          <a:pPr algn="just"/>
          <a:endParaRPr lang="es-EC" sz="1200">
            <a:latin typeface="Times New Roman" pitchFamily="18" charset="0"/>
            <a:cs typeface="Times New Roman" pitchFamily="18" charset="0"/>
          </a:endParaRPr>
        </a:p>
      </dgm:t>
    </dgm:pt>
    <dgm:pt modelId="{B75F2337-3875-46C5-8EEF-596272B5113C}">
      <dgm:prSet custT="1">
        <dgm:style>
          <a:lnRef idx="2">
            <a:schemeClr val="accent2"/>
          </a:lnRef>
          <a:fillRef idx="1">
            <a:schemeClr val="lt1"/>
          </a:fillRef>
          <a:effectRef idx="0">
            <a:schemeClr val="accent2"/>
          </a:effectRef>
          <a:fontRef idx="minor">
            <a:schemeClr val="dk1"/>
          </a:fontRef>
        </dgm:style>
      </dgm:prSet>
      <dgm:spPr>
        <a:ln>
          <a:solidFill>
            <a:srgbClr val="00CC00"/>
          </a:solidFill>
        </a:ln>
      </dgm:spPr>
      <dgm:t>
        <a:bodyPr/>
        <a:lstStyle/>
        <a:p>
          <a:pPr algn="just"/>
          <a:r>
            <a:rPr lang="es-EC" sz="1400" b="1">
              <a:latin typeface="Times New Roman" pitchFamily="18" charset="0"/>
              <a:cs typeface="Times New Roman" pitchFamily="18" charset="0"/>
            </a:rPr>
            <a:t>NIIF 12</a:t>
          </a:r>
          <a:r>
            <a:rPr lang="es-EC" sz="1200">
              <a:latin typeface="Times New Roman" pitchFamily="18" charset="0"/>
              <a:cs typeface="Times New Roman" pitchFamily="18" charset="0"/>
            </a:rPr>
            <a:t>. Información a Revelar sobre Participaciones en Otras Entidades</a:t>
          </a:r>
        </a:p>
      </dgm:t>
    </dgm:pt>
    <dgm:pt modelId="{6C74D203-D52A-4C77-8F06-9B7C3A4FEDC4}" type="parTrans" cxnId="{9DBD37A7-296F-4862-82CA-724BE7BDF4AC}">
      <dgm:prSet custT="1">
        <dgm:style>
          <a:lnRef idx="1">
            <a:schemeClr val="dk1"/>
          </a:lnRef>
          <a:fillRef idx="0">
            <a:schemeClr val="dk1"/>
          </a:fillRef>
          <a:effectRef idx="0">
            <a:schemeClr val="dk1"/>
          </a:effectRef>
          <a:fontRef idx="minor">
            <a:schemeClr val="tx1"/>
          </a:fontRef>
        </dgm:style>
      </dgm:prSet>
      <dgm:spPr>
        <a:ln>
          <a:solidFill>
            <a:schemeClr val="tx1"/>
          </a:solidFill>
        </a:ln>
      </dgm:spPr>
      <dgm:t>
        <a:bodyPr/>
        <a:lstStyle/>
        <a:p>
          <a:pPr algn="just"/>
          <a:endParaRPr lang="es-EC" sz="1200">
            <a:latin typeface="Times New Roman" pitchFamily="18" charset="0"/>
            <a:cs typeface="Times New Roman" pitchFamily="18" charset="0"/>
          </a:endParaRPr>
        </a:p>
      </dgm:t>
    </dgm:pt>
    <dgm:pt modelId="{6FCA8680-A7F0-401C-B0DB-B94570ABABA3}" type="sibTrans" cxnId="{9DBD37A7-296F-4862-82CA-724BE7BDF4AC}">
      <dgm:prSet/>
      <dgm:spPr/>
      <dgm:t>
        <a:bodyPr/>
        <a:lstStyle/>
        <a:p>
          <a:pPr algn="just"/>
          <a:endParaRPr lang="es-EC" sz="1200">
            <a:latin typeface="Times New Roman" pitchFamily="18" charset="0"/>
            <a:cs typeface="Times New Roman" pitchFamily="18" charset="0"/>
          </a:endParaRPr>
        </a:p>
      </dgm:t>
    </dgm:pt>
    <dgm:pt modelId="{2A98E9FA-9AD3-4D07-9599-2189865A23E8}">
      <dgm:prSet custT="1">
        <dgm:style>
          <a:lnRef idx="2">
            <a:schemeClr val="accent2"/>
          </a:lnRef>
          <a:fillRef idx="1">
            <a:schemeClr val="lt1"/>
          </a:fillRef>
          <a:effectRef idx="0">
            <a:schemeClr val="accent2"/>
          </a:effectRef>
          <a:fontRef idx="minor">
            <a:schemeClr val="dk1"/>
          </a:fontRef>
        </dgm:style>
      </dgm:prSet>
      <dgm:spPr>
        <a:ln>
          <a:solidFill>
            <a:srgbClr val="66CCFF"/>
          </a:solidFill>
        </a:ln>
      </dgm:spPr>
      <dgm:t>
        <a:bodyPr/>
        <a:lstStyle/>
        <a:p>
          <a:pPr algn="just"/>
          <a:r>
            <a:rPr lang="es-EC" sz="1400" b="1">
              <a:latin typeface="Times New Roman" pitchFamily="18" charset="0"/>
              <a:cs typeface="Times New Roman" pitchFamily="18" charset="0"/>
            </a:rPr>
            <a:t>NIIF 13</a:t>
          </a:r>
          <a:r>
            <a:rPr lang="es-EC" sz="1200">
              <a:latin typeface="Times New Roman" pitchFamily="18" charset="0"/>
              <a:cs typeface="Times New Roman" pitchFamily="18" charset="0"/>
            </a:rPr>
            <a:t>. Medición del Valor Razonable</a:t>
          </a:r>
        </a:p>
      </dgm:t>
    </dgm:pt>
    <dgm:pt modelId="{B510DB61-82A2-4FC0-B7E0-070A097978D0}" type="parTrans" cxnId="{04E3A065-4065-4303-8C39-77DB54FA0CE7}">
      <dgm:prSet custT="1">
        <dgm:style>
          <a:lnRef idx="1">
            <a:schemeClr val="dk1"/>
          </a:lnRef>
          <a:fillRef idx="0">
            <a:schemeClr val="dk1"/>
          </a:fillRef>
          <a:effectRef idx="0">
            <a:schemeClr val="dk1"/>
          </a:effectRef>
          <a:fontRef idx="minor">
            <a:schemeClr val="tx1"/>
          </a:fontRef>
        </dgm:style>
      </dgm:prSet>
      <dgm:spPr>
        <a:ln>
          <a:solidFill>
            <a:schemeClr val="tx1"/>
          </a:solidFill>
        </a:ln>
      </dgm:spPr>
      <dgm:t>
        <a:bodyPr/>
        <a:lstStyle/>
        <a:p>
          <a:pPr algn="just"/>
          <a:endParaRPr lang="es-EC" sz="1200">
            <a:latin typeface="Times New Roman" pitchFamily="18" charset="0"/>
            <a:cs typeface="Times New Roman" pitchFamily="18" charset="0"/>
          </a:endParaRPr>
        </a:p>
      </dgm:t>
    </dgm:pt>
    <dgm:pt modelId="{537A0735-D4B2-49C1-BC4C-5A4BCEA5F24F}" type="sibTrans" cxnId="{04E3A065-4065-4303-8C39-77DB54FA0CE7}">
      <dgm:prSet/>
      <dgm:spPr/>
      <dgm:t>
        <a:bodyPr/>
        <a:lstStyle/>
        <a:p>
          <a:pPr algn="just"/>
          <a:endParaRPr lang="es-EC" sz="1200">
            <a:latin typeface="Times New Roman" pitchFamily="18" charset="0"/>
            <a:cs typeface="Times New Roman" pitchFamily="18" charset="0"/>
          </a:endParaRPr>
        </a:p>
      </dgm:t>
    </dgm:pt>
    <dgm:pt modelId="{19F0CCFB-4452-49C2-8102-6606E125C381}" type="pres">
      <dgm:prSet presAssocID="{8DF08B43-40B0-4150-B732-FF238E649DA2}" presName="diagram" presStyleCnt="0">
        <dgm:presLayoutVars>
          <dgm:chPref val="1"/>
          <dgm:dir/>
          <dgm:animOne val="branch"/>
          <dgm:animLvl val="lvl"/>
          <dgm:resizeHandles val="exact"/>
        </dgm:presLayoutVars>
      </dgm:prSet>
      <dgm:spPr/>
      <dgm:t>
        <a:bodyPr/>
        <a:lstStyle/>
        <a:p>
          <a:endParaRPr lang="es-EC"/>
        </a:p>
      </dgm:t>
    </dgm:pt>
    <dgm:pt modelId="{C2342503-3C77-4C39-890F-CDFBB82029C9}" type="pres">
      <dgm:prSet presAssocID="{AC4CAE37-9F57-4B17-8A6C-BE661FC04C77}" presName="root1" presStyleCnt="0"/>
      <dgm:spPr/>
    </dgm:pt>
    <dgm:pt modelId="{E9291548-375E-465B-8E21-5F819C1C9947}" type="pres">
      <dgm:prSet presAssocID="{AC4CAE37-9F57-4B17-8A6C-BE661FC04C77}" presName="LevelOneTextNode" presStyleLbl="node0" presStyleIdx="0" presStyleCnt="1" custScaleX="149087" custScaleY="166375" custLinFactNeighborX="-141" custLinFactNeighborY="-12913">
        <dgm:presLayoutVars>
          <dgm:chPref val="3"/>
        </dgm:presLayoutVars>
      </dgm:prSet>
      <dgm:spPr/>
      <dgm:t>
        <a:bodyPr/>
        <a:lstStyle/>
        <a:p>
          <a:endParaRPr lang="es-EC"/>
        </a:p>
      </dgm:t>
    </dgm:pt>
    <dgm:pt modelId="{6F25DA83-0135-467A-BA8F-442424CACCC3}" type="pres">
      <dgm:prSet presAssocID="{AC4CAE37-9F57-4B17-8A6C-BE661FC04C77}" presName="level2hierChild" presStyleCnt="0"/>
      <dgm:spPr/>
    </dgm:pt>
    <dgm:pt modelId="{1A3841AD-2E64-45B6-A12D-B2E30200A4F6}" type="pres">
      <dgm:prSet presAssocID="{8EB8591C-1DD0-432D-9B8B-8F414295A5CF}" presName="conn2-1" presStyleLbl="parChTrans1D2" presStyleIdx="0" presStyleCnt="13"/>
      <dgm:spPr/>
      <dgm:t>
        <a:bodyPr/>
        <a:lstStyle/>
        <a:p>
          <a:endParaRPr lang="es-EC"/>
        </a:p>
      </dgm:t>
    </dgm:pt>
    <dgm:pt modelId="{8D1B238C-B4A3-4236-BCE9-0DE9BB603A2C}" type="pres">
      <dgm:prSet presAssocID="{8EB8591C-1DD0-432D-9B8B-8F414295A5CF}" presName="connTx" presStyleLbl="parChTrans1D2" presStyleIdx="0" presStyleCnt="13"/>
      <dgm:spPr/>
      <dgm:t>
        <a:bodyPr/>
        <a:lstStyle/>
        <a:p>
          <a:endParaRPr lang="es-EC"/>
        </a:p>
      </dgm:t>
    </dgm:pt>
    <dgm:pt modelId="{1A34378F-F969-4153-BDE2-91D17A888DF1}" type="pres">
      <dgm:prSet presAssocID="{AAF2456E-1BB8-4DD2-9EAE-E2142151313C}" presName="root2" presStyleCnt="0"/>
      <dgm:spPr/>
    </dgm:pt>
    <dgm:pt modelId="{AF99F19C-39D5-439A-9812-C2FE336C5F78}" type="pres">
      <dgm:prSet presAssocID="{AAF2456E-1BB8-4DD2-9EAE-E2142151313C}" presName="LevelTwoTextNode" presStyleLbl="node2" presStyleIdx="0" presStyleCnt="13" custScaleX="295703" custScaleY="82567">
        <dgm:presLayoutVars>
          <dgm:chPref val="3"/>
        </dgm:presLayoutVars>
      </dgm:prSet>
      <dgm:spPr/>
      <dgm:t>
        <a:bodyPr/>
        <a:lstStyle/>
        <a:p>
          <a:endParaRPr lang="es-EC"/>
        </a:p>
      </dgm:t>
    </dgm:pt>
    <dgm:pt modelId="{606AD66D-D43A-4F8D-BE2A-6280FA6CB25F}" type="pres">
      <dgm:prSet presAssocID="{AAF2456E-1BB8-4DD2-9EAE-E2142151313C}" presName="level3hierChild" presStyleCnt="0"/>
      <dgm:spPr/>
    </dgm:pt>
    <dgm:pt modelId="{4495D9C4-D750-4856-9FF3-AE1D99593EB7}" type="pres">
      <dgm:prSet presAssocID="{3E9584B8-8DEB-4BAC-95BB-0C6EA2AA8D6D}" presName="conn2-1" presStyleLbl="parChTrans1D2" presStyleIdx="1" presStyleCnt="13"/>
      <dgm:spPr/>
      <dgm:t>
        <a:bodyPr/>
        <a:lstStyle/>
        <a:p>
          <a:endParaRPr lang="es-EC"/>
        </a:p>
      </dgm:t>
    </dgm:pt>
    <dgm:pt modelId="{802181B3-5785-4FC7-9363-BBDC449F7ED6}" type="pres">
      <dgm:prSet presAssocID="{3E9584B8-8DEB-4BAC-95BB-0C6EA2AA8D6D}" presName="connTx" presStyleLbl="parChTrans1D2" presStyleIdx="1" presStyleCnt="13"/>
      <dgm:spPr/>
      <dgm:t>
        <a:bodyPr/>
        <a:lstStyle/>
        <a:p>
          <a:endParaRPr lang="es-EC"/>
        </a:p>
      </dgm:t>
    </dgm:pt>
    <dgm:pt modelId="{DE9AEB09-4E46-4371-B31E-1AAE091A12BE}" type="pres">
      <dgm:prSet presAssocID="{69269DDD-B232-408B-A872-90C766F11386}" presName="root2" presStyleCnt="0"/>
      <dgm:spPr/>
    </dgm:pt>
    <dgm:pt modelId="{AE7C5EF6-E161-4DE1-8787-9A3284362258}" type="pres">
      <dgm:prSet presAssocID="{69269DDD-B232-408B-A872-90C766F11386}" presName="LevelTwoTextNode" presStyleLbl="node2" presStyleIdx="1" presStyleCnt="13" custScaleX="293445" custScaleY="76845">
        <dgm:presLayoutVars>
          <dgm:chPref val="3"/>
        </dgm:presLayoutVars>
      </dgm:prSet>
      <dgm:spPr/>
      <dgm:t>
        <a:bodyPr/>
        <a:lstStyle/>
        <a:p>
          <a:endParaRPr lang="es-EC"/>
        </a:p>
      </dgm:t>
    </dgm:pt>
    <dgm:pt modelId="{33CDEA14-FF7B-4D30-B684-7A9B4FC96624}" type="pres">
      <dgm:prSet presAssocID="{69269DDD-B232-408B-A872-90C766F11386}" presName="level3hierChild" presStyleCnt="0"/>
      <dgm:spPr/>
    </dgm:pt>
    <dgm:pt modelId="{44A1A8BD-D127-43F2-BD18-2B24E952608A}" type="pres">
      <dgm:prSet presAssocID="{6334BA85-692C-4F08-AC98-9508EB544A22}" presName="conn2-1" presStyleLbl="parChTrans1D2" presStyleIdx="2" presStyleCnt="13"/>
      <dgm:spPr/>
      <dgm:t>
        <a:bodyPr/>
        <a:lstStyle/>
        <a:p>
          <a:endParaRPr lang="es-EC"/>
        </a:p>
      </dgm:t>
    </dgm:pt>
    <dgm:pt modelId="{399D2D25-D287-4E88-9399-CD7011AB8271}" type="pres">
      <dgm:prSet presAssocID="{6334BA85-692C-4F08-AC98-9508EB544A22}" presName="connTx" presStyleLbl="parChTrans1D2" presStyleIdx="2" presStyleCnt="13"/>
      <dgm:spPr/>
      <dgm:t>
        <a:bodyPr/>
        <a:lstStyle/>
        <a:p>
          <a:endParaRPr lang="es-EC"/>
        </a:p>
      </dgm:t>
    </dgm:pt>
    <dgm:pt modelId="{8F3D07DB-2558-4AC0-BF26-EDB6317FFC93}" type="pres">
      <dgm:prSet presAssocID="{60BA6AE7-A9D0-41BD-9789-778AF37AFB36}" presName="root2" presStyleCnt="0"/>
      <dgm:spPr/>
    </dgm:pt>
    <dgm:pt modelId="{E2D8776D-4D1D-48FC-AE9F-B8C504A7CA24}" type="pres">
      <dgm:prSet presAssocID="{60BA6AE7-A9D0-41BD-9789-778AF37AFB36}" presName="LevelTwoTextNode" presStyleLbl="node2" presStyleIdx="2" presStyleCnt="13" custScaleX="293445" custScaleY="74780">
        <dgm:presLayoutVars>
          <dgm:chPref val="3"/>
        </dgm:presLayoutVars>
      </dgm:prSet>
      <dgm:spPr/>
      <dgm:t>
        <a:bodyPr/>
        <a:lstStyle/>
        <a:p>
          <a:endParaRPr lang="es-EC"/>
        </a:p>
      </dgm:t>
    </dgm:pt>
    <dgm:pt modelId="{9039C337-5BEC-4949-B883-CC05AE3ADEB8}" type="pres">
      <dgm:prSet presAssocID="{60BA6AE7-A9D0-41BD-9789-778AF37AFB36}" presName="level3hierChild" presStyleCnt="0"/>
      <dgm:spPr/>
    </dgm:pt>
    <dgm:pt modelId="{5DCEB65A-9692-4BB4-80F4-CC4E60A3BDAD}" type="pres">
      <dgm:prSet presAssocID="{8D6D7A64-DC23-41AF-A147-99DED1DA24D7}" presName="conn2-1" presStyleLbl="parChTrans1D2" presStyleIdx="3" presStyleCnt="13"/>
      <dgm:spPr/>
      <dgm:t>
        <a:bodyPr/>
        <a:lstStyle/>
        <a:p>
          <a:endParaRPr lang="es-EC"/>
        </a:p>
      </dgm:t>
    </dgm:pt>
    <dgm:pt modelId="{E5802548-0C20-46F5-A3F6-7AACE2CC4F92}" type="pres">
      <dgm:prSet presAssocID="{8D6D7A64-DC23-41AF-A147-99DED1DA24D7}" presName="connTx" presStyleLbl="parChTrans1D2" presStyleIdx="3" presStyleCnt="13"/>
      <dgm:spPr/>
      <dgm:t>
        <a:bodyPr/>
        <a:lstStyle/>
        <a:p>
          <a:endParaRPr lang="es-EC"/>
        </a:p>
      </dgm:t>
    </dgm:pt>
    <dgm:pt modelId="{7879FBA4-1775-43BC-9713-222299EA0BE8}" type="pres">
      <dgm:prSet presAssocID="{1C90A126-C815-4D25-BDE8-E22A83B984FF}" presName="root2" presStyleCnt="0"/>
      <dgm:spPr/>
    </dgm:pt>
    <dgm:pt modelId="{A8B2CCFE-9F81-4842-BF2B-666C64943083}" type="pres">
      <dgm:prSet presAssocID="{1C90A126-C815-4D25-BDE8-E22A83B984FF}" presName="LevelTwoTextNode" presStyleLbl="node2" presStyleIdx="3" presStyleCnt="13" custScaleX="291449" custScaleY="65589">
        <dgm:presLayoutVars>
          <dgm:chPref val="3"/>
        </dgm:presLayoutVars>
      </dgm:prSet>
      <dgm:spPr/>
      <dgm:t>
        <a:bodyPr/>
        <a:lstStyle/>
        <a:p>
          <a:endParaRPr lang="es-EC"/>
        </a:p>
      </dgm:t>
    </dgm:pt>
    <dgm:pt modelId="{3124DC6E-5915-4A2D-8634-8EB734FFCE89}" type="pres">
      <dgm:prSet presAssocID="{1C90A126-C815-4D25-BDE8-E22A83B984FF}" presName="level3hierChild" presStyleCnt="0"/>
      <dgm:spPr/>
    </dgm:pt>
    <dgm:pt modelId="{90EA394C-B704-43E6-A15F-33FE29CCA610}" type="pres">
      <dgm:prSet presAssocID="{103934F5-E7C9-499A-BD68-21FA4769A675}" presName="conn2-1" presStyleLbl="parChTrans1D2" presStyleIdx="4" presStyleCnt="13"/>
      <dgm:spPr/>
      <dgm:t>
        <a:bodyPr/>
        <a:lstStyle/>
        <a:p>
          <a:endParaRPr lang="es-EC"/>
        </a:p>
      </dgm:t>
    </dgm:pt>
    <dgm:pt modelId="{AA101216-1ECB-435F-BFCC-D294878FB931}" type="pres">
      <dgm:prSet presAssocID="{103934F5-E7C9-499A-BD68-21FA4769A675}" presName="connTx" presStyleLbl="parChTrans1D2" presStyleIdx="4" presStyleCnt="13"/>
      <dgm:spPr/>
      <dgm:t>
        <a:bodyPr/>
        <a:lstStyle/>
        <a:p>
          <a:endParaRPr lang="es-EC"/>
        </a:p>
      </dgm:t>
    </dgm:pt>
    <dgm:pt modelId="{9EC2DE3B-404A-49D2-BBFE-CBD7E3CBE798}" type="pres">
      <dgm:prSet presAssocID="{1A658784-AF6C-43DD-BA4E-20A3B8E68CDB}" presName="root2" presStyleCnt="0"/>
      <dgm:spPr/>
    </dgm:pt>
    <dgm:pt modelId="{2BE5122C-660C-49B4-A146-78D3D1053167}" type="pres">
      <dgm:prSet presAssocID="{1A658784-AF6C-43DD-BA4E-20A3B8E68CDB}" presName="LevelTwoTextNode" presStyleLbl="node2" presStyleIdx="4" presStyleCnt="13" custScaleX="292288">
        <dgm:presLayoutVars>
          <dgm:chPref val="3"/>
        </dgm:presLayoutVars>
      </dgm:prSet>
      <dgm:spPr/>
      <dgm:t>
        <a:bodyPr/>
        <a:lstStyle/>
        <a:p>
          <a:endParaRPr lang="es-EC"/>
        </a:p>
      </dgm:t>
    </dgm:pt>
    <dgm:pt modelId="{5F7F975F-321A-4EB5-A2F0-5752B40DF9E7}" type="pres">
      <dgm:prSet presAssocID="{1A658784-AF6C-43DD-BA4E-20A3B8E68CDB}" presName="level3hierChild" presStyleCnt="0"/>
      <dgm:spPr/>
    </dgm:pt>
    <dgm:pt modelId="{F9F6D606-7EBE-4143-8DA3-BBD4AFF77EE1}" type="pres">
      <dgm:prSet presAssocID="{644FDF47-B42F-4E99-A297-41F7F22CCD51}" presName="conn2-1" presStyleLbl="parChTrans1D2" presStyleIdx="5" presStyleCnt="13"/>
      <dgm:spPr/>
      <dgm:t>
        <a:bodyPr/>
        <a:lstStyle/>
        <a:p>
          <a:endParaRPr lang="es-EC"/>
        </a:p>
      </dgm:t>
    </dgm:pt>
    <dgm:pt modelId="{D520AD19-F3EA-4E14-8D78-CEC18938DFF0}" type="pres">
      <dgm:prSet presAssocID="{644FDF47-B42F-4E99-A297-41F7F22CCD51}" presName="connTx" presStyleLbl="parChTrans1D2" presStyleIdx="5" presStyleCnt="13"/>
      <dgm:spPr/>
      <dgm:t>
        <a:bodyPr/>
        <a:lstStyle/>
        <a:p>
          <a:endParaRPr lang="es-EC"/>
        </a:p>
      </dgm:t>
    </dgm:pt>
    <dgm:pt modelId="{AFD2640A-22AC-4150-BCD3-D3559502DF7C}" type="pres">
      <dgm:prSet presAssocID="{9D66DCCF-1201-4481-BB8A-695A3CB229D5}" presName="root2" presStyleCnt="0"/>
      <dgm:spPr/>
    </dgm:pt>
    <dgm:pt modelId="{8E73CB4C-ACD9-45CA-9DDF-168FDE21A72C}" type="pres">
      <dgm:prSet presAssocID="{9D66DCCF-1201-4481-BB8A-695A3CB229D5}" presName="LevelTwoTextNode" presStyleLbl="node2" presStyleIdx="5" presStyleCnt="13" custScaleX="293444">
        <dgm:presLayoutVars>
          <dgm:chPref val="3"/>
        </dgm:presLayoutVars>
      </dgm:prSet>
      <dgm:spPr/>
      <dgm:t>
        <a:bodyPr/>
        <a:lstStyle/>
        <a:p>
          <a:endParaRPr lang="es-EC"/>
        </a:p>
      </dgm:t>
    </dgm:pt>
    <dgm:pt modelId="{37711929-7987-4506-801B-1EACB39DDD47}" type="pres">
      <dgm:prSet presAssocID="{9D66DCCF-1201-4481-BB8A-695A3CB229D5}" presName="level3hierChild" presStyleCnt="0"/>
      <dgm:spPr/>
    </dgm:pt>
    <dgm:pt modelId="{D69BDEA0-6E78-4C62-B14F-49E8C4FC1C7D}" type="pres">
      <dgm:prSet presAssocID="{AF193331-1625-4F49-8066-4E5BB97A0EDF}" presName="conn2-1" presStyleLbl="parChTrans1D2" presStyleIdx="6" presStyleCnt="13"/>
      <dgm:spPr/>
      <dgm:t>
        <a:bodyPr/>
        <a:lstStyle/>
        <a:p>
          <a:endParaRPr lang="es-EC"/>
        </a:p>
      </dgm:t>
    </dgm:pt>
    <dgm:pt modelId="{0A4E7664-5B49-4D60-A16F-8F2143E0F1B8}" type="pres">
      <dgm:prSet presAssocID="{AF193331-1625-4F49-8066-4E5BB97A0EDF}" presName="connTx" presStyleLbl="parChTrans1D2" presStyleIdx="6" presStyleCnt="13"/>
      <dgm:spPr/>
      <dgm:t>
        <a:bodyPr/>
        <a:lstStyle/>
        <a:p>
          <a:endParaRPr lang="es-EC"/>
        </a:p>
      </dgm:t>
    </dgm:pt>
    <dgm:pt modelId="{BBF4EC49-C032-45B9-810A-319384F1EAB1}" type="pres">
      <dgm:prSet presAssocID="{5E5423C4-5EC4-4DF2-A711-C42C2D6BF7A1}" presName="root2" presStyleCnt="0"/>
      <dgm:spPr/>
    </dgm:pt>
    <dgm:pt modelId="{EEC31B41-5F47-44A9-8C56-55790B73D12A}" type="pres">
      <dgm:prSet presAssocID="{5E5423C4-5EC4-4DF2-A711-C42C2D6BF7A1}" presName="LevelTwoTextNode" presStyleLbl="node2" presStyleIdx="6" presStyleCnt="13" custScaleX="295430">
        <dgm:presLayoutVars>
          <dgm:chPref val="3"/>
        </dgm:presLayoutVars>
      </dgm:prSet>
      <dgm:spPr/>
      <dgm:t>
        <a:bodyPr/>
        <a:lstStyle/>
        <a:p>
          <a:endParaRPr lang="es-EC"/>
        </a:p>
      </dgm:t>
    </dgm:pt>
    <dgm:pt modelId="{8764A869-7C90-4CC2-8083-D24F96E56A35}" type="pres">
      <dgm:prSet presAssocID="{5E5423C4-5EC4-4DF2-A711-C42C2D6BF7A1}" presName="level3hierChild" presStyleCnt="0"/>
      <dgm:spPr/>
    </dgm:pt>
    <dgm:pt modelId="{3CE00AC1-4944-47BD-AD38-8E645AC0740A}" type="pres">
      <dgm:prSet presAssocID="{A0F56F3D-AB63-4B35-9003-C2F4AF2EF5E2}" presName="conn2-1" presStyleLbl="parChTrans1D2" presStyleIdx="7" presStyleCnt="13"/>
      <dgm:spPr/>
      <dgm:t>
        <a:bodyPr/>
        <a:lstStyle/>
        <a:p>
          <a:endParaRPr lang="es-EC"/>
        </a:p>
      </dgm:t>
    </dgm:pt>
    <dgm:pt modelId="{69EDFACA-2FE5-423A-87AD-107CC55F6A6F}" type="pres">
      <dgm:prSet presAssocID="{A0F56F3D-AB63-4B35-9003-C2F4AF2EF5E2}" presName="connTx" presStyleLbl="parChTrans1D2" presStyleIdx="7" presStyleCnt="13"/>
      <dgm:spPr/>
      <dgm:t>
        <a:bodyPr/>
        <a:lstStyle/>
        <a:p>
          <a:endParaRPr lang="es-EC"/>
        </a:p>
      </dgm:t>
    </dgm:pt>
    <dgm:pt modelId="{B8EF8C5A-C16B-4B3C-B406-18B2AFD0810C}" type="pres">
      <dgm:prSet presAssocID="{C81873CF-93CD-40D8-812C-60B0892D8108}" presName="root2" presStyleCnt="0"/>
      <dgm:spPr/>
    </dgm:pt>
    <dgm:pt modelId="{147F0E5A-433E-4477-AEBF-4576E4A00E94}" type="pres">
      <dgm:prSet presAssocID="{C81873CF-93CD-40D8-812C-60B0892D8108}" presName="LevelTwoTextNode" presStyleLbl="node2" presStyleIdx="7" presStyleCnt="13" custScaleX="290629" custScaleY="76968" custLinFactNeighborX="2979" custLinFactNeighborY="-3971">
        <dgm:presLayoutVars>
          <dgm:chPref val="3"/>
        </dgm:presLayoutVars>
      </dgm:prSet>
      <dgm:spPr/>
      <dgm:t>
        <a:bodyPr/>
        <a:lstStyle/>
        <a:p>
          <a:endParaRPr lang="es-EC"/>
        </a:p>
      </dgm:t>
    </dgm:pt>
    <dgm:pt modelId="{46DD85FA-50FB-4D36-BB96-6AAF668157E8}" type="pres">
      <dgm:prSet presAssocID="{C81873CF-93CD-40D8-812C-60B0892D8108}" presName="level3hierChild" presStyleCnt="0"/>
      <dgm:spPr/>
    </dgm:pt>
    <dgm:pt modelId="{BE9CABF5-443F-4F29-9C36-A5483B0246F0}" type="pres">
      <dgm:prSet presAssocID="{0FAB2C75-C356-4EAE-9478-8A7ADC98E138}" presName="conn2-1" presStyleLbl="parChTrans1D2" presStyleIdx="8" presStyleCnt="13"/>
      <dgm:spPr/>
      <dgm:t>
        <a:bodyPr/>
        <a:lstStyle/>
        <a:p>
          <a:endParaRPr lang="es-EC"/>
        </a:p>
      </dgm:t>
    </dgm:pt>
    <dgm:pt modelId="{02785C54-AF88-4E17-88AC-F2D4B1E032AE}" type="pres">
      <dgm:prSet presAssocID="{0FAB2C75-C356-4EAE-9478-8A7ADC98E138}" presName="connTx" presStyleLbl="parChTrans1D2" presStyleIdx="8" presStyleCnt="13"/>
      <dgm:spPr/>
      <dgm:t>
        <a:bodyPr/>
        <a:lstStyle/>
        <a:p>
          <a:endParaRPr lang="es-EC"/>
        </a:p>
      </dgm:t>
    </dgm:pt>
    <dgm:pt modelId="{68418BCE-09C1-4D6D-9F83-3CFA5D6881DF}" type="pres">
      <dgm:prSet presAssocID="{9656168F-C327-49EC-98AA-2DD338F6A1C1}" presName="root2" presStyleCnt="0"/>
      <dgm:spPr/>
    </dgm:pt>
    <dgm:pt modelId="{A27A4C20-07C3-43D8-8E3C-8B607BDAB0FD}" type="pres">
      <dgm:prSet presAssocID="{9656168F-C327-49EC-98AA-2DD338F6A1C1}" presName="LevelTwoTextNode" presStyleLbl="node2" presStyleIdx="8" presStyleCnt="13" custScaleX="290302" custScaleY="80019">
        <dgm:presLayoutVars>
          <dgm:chPref val="3"/>
        </dgm:presLayoutVars>
      </dgm:prSet>
      <dgm:spPr/>
      <dgm:t>
        <a:bodyPr/>
        <a:lstStyle/>
        <a:p>
          <a:endParaRPr lang="es-EC"/>
        </a:p>
      </dgm:t>
    </dgm:pt>
    <dgm:pt modelId="{B6C72168-7588-422F-A5AA-9DF9444D0F8C}" type="pres">
      <dgm:prSet presAssocID="{9656168F-C327-49EC-98AA-2DD338F6A1C1}" presName="level3hierChild" presStyleCnt="0"/>
      <dgm:spPr/>
    </dgm:pt>
    <dgm:pt modelId="{384A75F0-4F17-4F1E-B342-BC2487C393FB}" type="pres">
      <dgm:prSet presAssocID="{F403FFEE-414A-4892-A693-FDBC8BE25967}" presName="conn2-1" presStyleLbl="parChTrans1D2" presStyleIdx="9" presStyleCnt="13"/>
      <dgm:spPr/>
      <dgm:t>
        <a:bodyPr/>
        <a:lstStyle/>
        <a:p>
          <a:endParaRPr lang="es-EC"/>
        </a:p>
      </dgm:t>
    </dgm:pt>
    <dgm:pt modelId="{3D835AB2-8A44-4E18-8918-E3D07CAF08E2}" type="pres">
      <dgm:prSet presAssocID="{F403FFEE-414A-4892-A693-FDBC8BE25967}" presName="connTx" presStyleLbl="parChTrans1D2" presStyleIdx="9" presStyleCnt="13"/>
      <dgm:spPr/>
      <dgm:t>
        <a:bodyPr/>
        <a:lstStyle/>
        <a:p>
          <a:endParaRPr lang="es-EC"/>
        </a:p>
      </dgm:t>
    </dgm:pt>
    <dgm:pt modelId="{ABFFC206-2A3E-475F-8F5E-015430016E99}" type="pres">
      <dgm:prSet presAssocID="{0B2B4E98-7992-432D-899A-8D16C8DF003C}" presName="root2" presStyleCnt="0"/>
      <dgm:spPr/>
    </dgm:pt>
    <dgm:pt modelId="{0AD29BB1-46E7-407C-A6C0-B538F1B050AA}" type="pres">
      <dgm:prSet presAssocID="{0B2B4E98-7992-432D-899A-8D16C8DF003C}" presName="LevelTwoTextNode" presStyleLbl="node2" presStyleIdx="9" presStyleCnt="13" custScaleX="292559" custScaleY="73888">
        <dgm:presLayoutVars>
          <dgm:chPref val="3"/>
        </dgm:presLayoutVars>
      </dgm:prSet>
      <dgm:spPr/>
      <dgm:t>
        <a:bodyPr/>
        <a:lstStyle/>
        <a:p>
          <a:endParaRPr lang="es-EC"/>
        </a:p>
      </dgm:t>
    </dgm:pt>
    <dgm:pt modelId="{2915AD69-6F0A-424F-A9B8-A073DF09DBD8}" type="pres">
      <dgm:prSet presAssocID="{0B2B4E98-7992-432D-899A-8D16C8DF003C}" presName="level3hierChild" presStyleCnt="0"/>
      <dgm:spPr/>
    </dgm:pt>
    <dgm:pt modelId="{A573E777-DEDA-463A-92D5-D5DA3F415576}" type="pres">
      <dgm:prSet presAssocID="{7A231FBA-325B-4A17-A5F6-9FB9D2A79A40}" presName="conn2-1" presStyleLbl="parChTrans1D2" presStyleIdx="10" presStyleCnt="13"/>
      <dgm:spPr/>
      <dgm:t>
        <a:bodyPr/>
        <a:lstStyle/>
        <a:p>
          <a:endParaRPr lang="es-EC"/>
        </a:p>
      </dgm:t>
    </dgm:pt>
    <dgm:pt modelId="{52F24478-0502-49EC-9C95-B3C334A27829}" type="pres">
      <dgm:prSet presAssocID="{7A231FBA-325B-4A17-A5F6-9FB9D2A79A40}" presName="connTx" presStyleLbl="parChTrans1D2" presStyleIdx="10" presStyleCnt="13"/>
      <dgm:spPr/>
      <dgm:t>
        <a:bodyPr/>
        <a:lstStyle/>
        <a:p>
          <a:endParaRPr lang="es-EC"/>
        </a:p>
      </dgm:t>
    </dgm:pt>
    <dgm:pt modelId="{A453E776-FD7F-4726-AC86-9A89279B9602}" type="pres">
      <dgm:prSet presAssocID="{CACDF775-4967-4042-BFDD-33310B7EB9C5}" presName="root2" presStyleCnt="0"/>
      <dgm:spPr/>
    </dgm:pt>
    <dgm:pt modelId="{B6CE9615-C795-4968-9731-1E98BBEF7336}" type="pres">
      <dgm:prSet presAssocID="{CACDF775-4967-4042-BFDD-33310B7EB9C5}" presName="LevelTwoTextNode" presStyleLbl="node2" presStyleIdx="10" presStyleCnt="13" custScaleX="292890" custScaleY="74271">
        <dgm:presLayoutVars>
          <dgm:chPref val="3"/>
        </dgm:presLayoutVars>
      </dgm:prSet>
      <dgm:spPr/>
      <dgm:t>
        <a:bodyPr/>
        <a:lstStyle/>
        <a:p>
          <a:endParaRPr lang="es-EC"/>
        </a:p>
      </dgm:t>
    </dgm:pt>
    <dgm:pt modelId="{E6EB0AF5-F51B-4594-B937-112F824D5695}" type="pres">
      <dgm:prSet presAssocID="{CACDF775-4967-4042-BFDD-33310B7EB9C5}" presName="level3hierChild" presStyleCnt="0"/>
      <dgm:spPr/>
    </dgm:pt>
    <dgm:pt modelId="{83A6C7D1-D22B-4E11-9DF8-52CE1430A141}" type="pres">
      <dgm:prSet presAssocID="{6C74D203-D52A-4C77-8F06-9B7C3A4FEDC4}" presName="conn2-1" presStyleLbl="parChTrans1D2" presStyleIdx="11" presStyleCnt="13"/>
      <dgm:spPr/>
      <dgm:t>
        <a:bodyPr/>
        <a:lstStyle/>
        <a:p>
          <a:endParaRPr lang="es-EC"/>
        </a:p>
      </dgm:t>
    </dgm:pt>
    <dgm:pt modelId="{0524FE92-389D-4FB0-BEC4-D160DF6431F6}" type="pres">
      <dgm:prSet presAssocID="{6C74D203-D52A-4C77-8F06-9B7C3A4FEDC4}" presName="connTx" presStyleLbl="parChTrans1D2" presStyleIdx="11" presStyleCnt="13"/>
      <dgm:spPr/>
      <dgm:t>
        <a:bodyPr/>
        <a:lstStyle/>
        <a:p>
          <a:endParaRPr lang="es-EC"/>
        </a:p>
      </dgm:t>
    </dgm:pt>
    <dgm:pt modelId="{3D698345-E809-46D2-8F46-9778728C15C7}" type="pres">
      <dgm:prSet presAssocID="{B75F2337-3875-46C5-8EEF-596272B5113C}" presName="root2" presStyleCnt="0"/>
      <dgm:spPr/>
    </dgm:pt>
    <dgm:pt modelId="{AC0A8459-CB6A-4B4C-B203-E697F03159A9}" type="pres">
      <dgm:prSet presAssocID="{B75F2337-3875-46C5-8EEF-596272B5113C}" presName="LevelTwoTextNode" presStyleLbl="node2" presStyleIdx="11" presStyleCnt="13" custScaleX="288643" custScaleY="78317">
        <dgm:presLayoutVars>
          <dgm:chPref val="3"/>
        </dgm:presLayoutVars>
      </dgm:prSet>
      <dgm:spPr/>
      <dgm:t>
        <a:bodyPr/>
        <a:lstStyle/>
        <a:p>
          <a:endParaRPr lang="es-EC"/>
        </a:p>
      </dgm:t>
    </dgm:pt>
    <dgm:pt modelId="{CC548AA7-18A4-4E4A-82D8-C46CAB5E40B8}" type="pres">
      <dgm:prSet presAssocID="{B75F2337-3875-46C5-8EEF-596272B5113C}" presName="level3hierChild" presStyleCnt="0"/>
      <dgm:spPr/>
    </dgm:pt>
    <dgm:pt modelId="{CBA31705-83ED-4C22-BB24-2CAB6C25DF2B}" type="pres">
      <dgm:prSet presAssocID="{B510DB61-82A2-4FC0-B7E0-070A097978D0}" presName="conn2-1" presStyleLbl="parChTrans1D2" presStyleIdx="12" presStyleCnt="13"/>
      <dgm:spPr/>
      <dgm:t>
        <a:bodyPr/>
        <a:lstStyle/>
        <a:p>
          <a:endParaRPr lang="es-EC"/>
        </a:p>
      </dgm:t>
    </dgm:pt>
    <dgm:pt modelId="{EB6135A5-D4DC-48B9-A015-1E0EE6B302C3}" type="pres">
      <dgm:prSet presAssocID="{B510DB61-82A2-4FC0-B7E0-070A097978D0}" presName="connTx" presStyleLbl="parChTrans1D2" presStyleIdx="12" presStyleCnt="13"/>
      <dgm:spPr/>
      <dgm:t>
        <a:bodyPr/>
        <a:lstStyle/>
        <a:p>
          <a:endParaRPr lang="es-EC"/>
        </a:p>
      </dgm:t>
    </dgm:pt>
    <dgm:pt modelId="{0114D5F3-5232-40AC-A2FA-9B461FC8782B}" type="pres">
      <dgm:prSet presAssocID="{2A98E9FA-9AD3-4D07-9599-2189865A23E8}" presName="root2" presStyleCnt="0"/>
      <dgm:spPr/>
    </dgm:pt>
    <dgm:pt modelId="{A0550E8C-14DE-4F8B-B163-8032B2628D5D}" type="pres">
      <dgm:prSet presAssocID="{2A98E9FA-9AD3-4D07-9599-2189865A23E8}" presName="LevelTwoTextNode" presStyleLbl="node2" presStyleIdx="12" presStyleCnt="13" custScaleX="289191" custScaleY="73647">
        <dgm:presLayoutVars>
          <dgm:chPref val="3"/>
        </dgm:presLayoutVars>
      </dgm:prSet>
      <dgm:spPr/>
      <dgm:t>
        <a:bodyPr/>
        <a:lstStyle/>
        <a:p>
          <a:endParaRPr lang="es-EC"/>
        </a:p>
      </dgm:t>
    </dgm:pt>
    <dgm:pt modelId="{042BE72E-5084-4C81-883E-FF2D478308B7}" type="pres">
      <dgm:prSet presAssocID="{2A98E9FA-9AD3-4D07-9599-2189865A23E8}" presName="level3hierChild" presStyleCnt="0"/>
      <dgm:spPr/>
    </dgm:pt>
  </dgm:ptLst>
  <dgm:cxnLst>
    <dgm:cxn modelId="{9120C1E7-3DC8-4697-93F5-60358698BA1D}" srcId="{AC4CAE37-9F57-4B17-8A6C-BE661FC04C77}" destId="{60BA6AE7-A9D0-41BD-9789-778AF37AFB36}" srcOrd="2" destOrd="0" parTransId="{6334BA85-692C-4F08-AC98-9508EB544A22}" sibTransId="{4D9A98B9-3E49-4B09-B8B7-CADF5C2A2EFA}"/>
    <dgm:cxn modelId="{48CD5EC3-49E0-431F-B82D-7B8C2F98DDDA}" type="presOf" srcId="{644FDF47-B42F-4E99-A297-41F7F22CCD51}" destId="{D520AD19-F3EA-4E14-8D78-CEC18938DFF0}" srcOrd="1" destOrd="0" presId="urn:microsoft.com/office/officeart/2005/8/layout/hierarchy2"/>
    <dgm:cxn modelId="{378F4103-BF89-4D7D-9F13-826A5A0D7359}" type="presOf" srcId="{644FDF47-B42F-4E99-A297-41F7F22CCD51}" destId="{F9F6D606-7EBE-4143-8DA3-BBD4AFF77EE1}" srcOrd="0" destOrd="0" presId="urn:microsoft.com/office/officeart/2005/8/layout/hierarchy2"/>
    <dgm:cxn modelId="{9DBD37A7-296F-4862-82CA-724BE7BDF4AC}" srcId="{AC4CAE37-9F57-4B17-8A6C-BE661FC04C77}" destId="{B75F2337-3875-46C5-8EEF-596272B5113C}" srcOrd="11" destOrd="0" parTransId="{6C74D203-D52A-4C77-8F06-9B7C3A4FEDC4}" sibTransId="{6FCA8680-A7F0-401C-B0DB-B94570ABABA3}"/>
    <dgm:cxn modelId="{DD83C8E9-2DAF-4C3B-BE6A-590627E3CDE7}" type="presOf" srcId="{5E5423C4-5EC4-4DF2-A711-C42C2D6BF7A1}" destId="{EEC31B41-5F47-44A9-8C56-55790B73D12A}" srcOrd="0" destOrd="0" presId="urn:microsoft.com/office/officeart/2005/8/layout/hierarchy2"/>
    <dgm:cxn modelId="{DD214382-E35B-423D-A907-A7828F63D364}" type="presOf" srcId="{F403FFEE-414A-4892-A693-FDBC8BE25967}" destId="{3D835AB2-8A44-4E18-8918-E3D07CAF08E2}" srcOrd="1" destOrd="0" presId="urn:microsoft.com/office/officeart/2005/8/layout/hierarchy2"/>
    <dgm:cxn modelId="{DE23486B-AC2E-4978-94C4-EE9D44484460}" type="presOf" srcId="{C81873CF-93CD-40D8-812C-60B0892D8108}" destId="{147F0E5A-433E-4477-AEBF-4576E4A00E94}" srcOrd="0" destOrd="0" presId="urn:microsoft.com/office/officeart/2005/8/layout/hierarchy2"/>
    <dgm:cxn modelId="{9C7F34B5-D7C7-4630-B205-B47291619A66}" type="presOf" srcId="{AC4CAE37-9F57-4B17-8A6C-BE661FC04C77}" destId="{E9291548-375E-465B-8E21-5F819C1C9947}" srcOrd="0" destOrd="0" presId="urn:microsoft.com/office/officeart/2005/8/layout/hierarchy2"/>
    <dgm:cxn modelId="{80206244-A256-4B66-A8C3-0B94E3D73736}" type="presOf" srcId="{69269DDD-B232-408B-A872-90C766F11386}" destId="{AE7C5EF6-E161-4DE1-8787-9A3284362258}" srcOrd="0" destOrd="0" presId="urn:microsoft.com/office/officeart/2005/8/layout/hierarchy2"/>
    <dgm:cxn modelId="{4004F09B-1B9B-40D6-98B5-E1525182E7A6}" type="presOf" srcId="{0FAB2C75-C356-4EAE-9478-8A7ADC98E138}" destId="{BE9CABF5-443F-4F29-9C36-A5483B0246F0}" srcOrd="0" destOrd="0" presId="urn:microsoft.com/office/officeart/2005/8/layout/hierarchy2"/>
    <dgm:cxn modelId="{142773F2-6E3D-411A-8DC4-0663C6707E5F}" type="presOf" srcId="{A0F56F3D-AB63-4B35-9003-C2F4AF2EF5E2}" destId="{69EDFACA-2FE5-423A-87AD-107CC55F6A6F}" srcOrd="1" destOrd="0" presId="urn:microsoft.com/office/officeart/2005/8/layout/hierarchy2"/>
    <dgm:cxn modelId="{0A614832-FBFB-4C5D-B7DF-A545EC7CE338}" type="presOf" srcId="{60BA6AE7-A9D0-41BD-9789-778AF37AFB36}" destId="{E2D8776D-4D1D-48FC-AE9F-B8C504A7CA24}" srcOrd="0" destOrd="0" presId="urn:microsoft.com/office/officeart/2005/8/layout/hierarchy2"/>
    <dgm:cxn modelId="{B4A74C36-8DAD-4C63-893B-ECE2DC849AE6}" type="presOf" srcId="{6334BA85-692C-4F08-AC98-9508EB544A22}" destId="{399D2D25-D287-4E88-9399-CD7011AB8271}" srcOrd="1" destOrd="0" presId="urn:microsoft.com/office/officeart/2005/8/layout/hierarchy2"/>
    <dgm:cxn modelId="{8EA3D1EB-C81A-429D-AE66-C7897BAE60A0}" type="presOf" srcId="{6C74D203-D52A-4C77-8F06-9B7C3A4FEDC4}" destId="{0524FE92-389D-4FB0-BEC4-D160DF6431F6}" srcOrd="1" destOrd="0" presId="urn:microsoft.com/office/officeart/2005/8/layout/hierarchy2"/>
    <dgm:cxn modelId="{9DC90EE5-E9FE-4686-B2C2-AC14EB4EB560}" type="presOf" srcId="{7A231FBA-325B-4A17-A5F6-9FB9D2A79A40}" destId="{52F24478-0502-49EC-9C95-B3C334A27829}" srcOrd="1" destOrd="0" presId="urn:microsoft.com/office/officeart/2005/8/layout/hierarchy2"/>
    <dgm:cxn modelId="{18384BE5-7326-4FB9-BBEE-F57C54FBB51B}" type="presOf" srcId="{8DF08B43-40B0-4150-B732-FF238E649DA2}" destId="{19F0CCFB-4452-49C2-8102-6606E125C381}" srcOrd="0" destOrd="0" presId="urn:microsoft.com/office/officeart/2005/8/layout/hierarchy2"/>
    <dgm:cxn modelId="{18FEB86F-8E14-41B4-95B7-FE725E3ABFC7}" type="presOf" srcId="{9D66DCCF-1201-4481-BB8A-695A3CB229D5}" destId="{8E73CB4C-ACD9-45CA-9DDF-168FDE21A72C}" srcOrd="0" destOrd="0" presId="urn:microsoft.com/office/officeart/2005/8/layout/hierarchy2"/>
    <dgm:cxn modelId="{91E78E54-8BF9-4F5E-B278-1FD417A84E9A}" srcId="{AC4CAE37-9F57-4B17-8A6C-BE661FC04C77}" destId="{9656168F-C327-49EC-98AA-2DD338F6A1C1}" srcOrd="8" destOrd="0" parTransId="{0FAB2C75-C356-4EAE-9478-8A7ADC98E138}" sibTransId="{0357CE24-2E65-493A-92E1-C084FC431589}"/>
    <dgm:cxn modelId="{3CF90DBE-00D6-4219-A9D2-DCAF2BE2AF8D}" type="presOf" srcId="{8D6D7A64-DC23-41AF-A147-99DED1DA24D7}" destId="{E5802548-0C20-46F5-A3F6-7AACE2CC4F92}" srcOrd="1" destOrd="0" presId="urn:microsoft.com/office/officeart/2005/8/layout/hierarchy2"/>
    <dgm:cxn modelId="{69B08B7C-BCFE-4E99-B694-0BA6A359EFF5}" type="presOf" srcId="{8D6D7A64-DC23-41AF-A147-99DED1DA24D7}" destId="{5DCEB65A-9692-4BB4-80F4-CC4E60A3BDAD}" srcOrd="0" destOrd="0" presId="urn:microsoft.com/office/officeart/2005/8/layout/hierarchy2"/>
    <dgm:cxn modelId="{E040F728-CED1-40B2-A0CB-EA46F23092D7}" type="presOf" srcId="{3E9584B8-8DEB-4BAC-95BB-0C6EA2AA8D6D}" destId="{4495D9C4-D750-4856-9FF3-AE1D99593EB7}" srcOrd="0" destOrd="0" presId="urn:microsoft.com/office/officeart/2005/8/layout/hierarchy2"/>
    <dgm:cxn modelId="{1924795B-09E3-4477-902C-C2237EF82F27}" srcId="{AC4CAE37-9F57-4B17-8A6C-BE661FC04C77}" destId="{5E5423C4-5EC4-4DF2-A711-C42C2D6BF7A1}" srcOrd="6" destOrd="0" parTransId="{AF193331-1625-4F49-8066-4E5BB97A0EDF}" sibTransId="{EFBA659F-F7BE-41D1-9941-09BEB31B500A}"/>
    <dgm:cxn modelId="{E46EA0FE-D02B-413D-BE80-8773618EA607}" type="presOf" srcId="{A0F56F3D-AB63-4B35-9003-C2F4AF2EF5E2}" destId="{3CE00AC1-4944-47BD-AD38-8E645AC0740A}" srcOrd="0" destOrd="0" presId="urn:microsoft.com/office/officeart/2005/8/layout/hierarchy2"/>
    <dgm:cxn modelId="{303CFB3E-1B6D-4BC9-AE50-F631DE799BD3}" type="presOf" srcId="{103934F5-E7C9-499A-BD68-21FA4769A675}" destId="{90EA394C-B704-43E6-A15F-33FE29CCA610}" srcOrd="0" destOrd="0" presId="urn:microsoft.com/office/officeart/2005/8/layout/hierarchy2"/>
    <dgm:cxn modelId="{60EADE38-3296-4069-B770-0DB07A1C4B4B}" type="presOf" srcId="{9656168F-C327-49EC-98AA-2DD338F6A1C1}" destId="{A27A4C20-07C3-43D8-8E3C-8B607BDAB0FD}" srcOrd="0" destOrd="0" presId="urn:microsoft.com/office/officeart/2005/8/layout/hierarchy2"/>
    <dgm:cxn modelId="{08C9531F-62E6-4CD6-8231-E5B6582672F7}" type="presOf" srcId="{F403FFEE-414A-4892-A693-FDBC8BE25967}" destId="{384A75F0-4F17-4F1E-B342-BC2487C393FB}" srcOrd="0" destOrd="0" presId="urn:microsoft.com/office/officeart/2005/8/layout/hierarchy2"/>
    <dgm:cxn modelId="{99E5C832-33C0-4194-9BAE-F37BCDE94AEB}" type="presOf" srcId="{6C74D203-D52A-4C77-8F06-9B7C3A4FEDC4}" destId="{83A6C7D1-D22B-4E11-9DF8-52CE1430A141}" srcOrd="0" destOrd="0" presId="urn:microsoft.com/office/officeart/2005/8/layout/hierarchy2"/>
    <dgm:cxn modelId="{D102BE97-BCF7-440F-92F6-5747305214ED}" type="presOf" srcId="{8EB8591C-1DD0-432D-9B8B-8F414295A5CF}" destId="{8D1B238C-B4A3-4236-BCE9-0DE9BB603A2C}" srcOrd="1" destOrd="0" presId="urn:microsoft.com/office/officeart/2005/8/layout/hierarchy2"/>
    <dgm:cxn modelId="{DC41C0BC-F603-48DF-AAD1-E2E8E7323C4B}" type="presOf" srcId="{3E9584B8-8DEB-4BAC-95BB-0C6EA2AA8D6D}" destId="{802181B3-5785-4FC7-9363-BBDC449F7ED6}" srcOrd="1" destOrd="0" presId="urn:microsoft.com/office/officeart/2005/8/layout/hierarchy2"/>
    <dgm:cxn modelId="{D0D58C33-118D-43FC-87D2-AC14DA255099}" srcId="{AC4CAE37-9F57-4B17-8A6C-BE661FC04C77}" destId="{1A658784-AF6C-43DD-BA4E-20A3B8E68CDB}" srcOrd="4" destOrd="0" parTransId="{103934F5-E7C9-499A-BD68-21FA4769A675}" sibTransId="{FAF00018-9011-4E56-998C-CD6194637DAC}"/>
    <dgm:cxn modelId="{F1236B3A-0CBD-438F-B536-31DC307CA5F8}" type="presOf" srcId="{AAF2456E-1BB8-4DD2-9EAE-E2142151313C}" destId="{AF99F19C-39D5-439A-9812-C2FE336C5F78}" srcOrd="0" destOrd="0" presId="urn:microsoft.com/office/officeart/2005/8/layout/hierarchy2"/>
    <dgm:cxn modelId="{3114A097-7E57-4417-98E0-38A3D0A374C9}" srcId="{AC4CAE37-9F57-4B17-8A6C-BE661FC04C77}" destId="{CACDF775-4967-4042-BFDD-33310B7EB9C5}" srcOrd="10" destOrd="0" parTransId="{7A231FBA-325B-4A17-A5F6-9FB9D2A79A40}" sibTransId="{8A56BDBA-C86A-4F54-A619-42BF690E183A}"/>
    <dgm:cxn modelId="{3EDB02D3-1CD7-48FF-BEC6-E6917DA6952C}" type="presOf" srcId="{1A658784-AF6C-43DD-BA4E-20A3B8E68CDB}" destId="{2BE5122C-660C-49B4-A146-78D3D1053167}" srcOrd="0" destOrd="0" presId="urn:microsoft.com/office/officeart/2005/8/layout/hierarchy2"/>
    <dgm:cxn modelId="{6DABA651-9D98-43C8-BAA9-F009C38468EB}" type="presOf" srcId="{B510DB61-82A2-4FC0-B7E0-070A097978D0}" destId="{CBA31705-83ED-4C22-BB24-2CAB6C25DF2B}" srcOrd="0" destOrd="0" presId="urn:microsoft.com/office/officeart/2005/8/layout/hierarchy2"/>
    <dgm:cxn modelId="{2E9E6CF8-9900-4AF7-9004-0B641492BDC5}" type="presOf" srcId="{2A98E9FA-9AD3-4D07-9599-2189865A23E8}" destId="{A0550E8C-14DE-4F8B-B163-8032B2628D5D}" srcOrd="0" destOrd="0" presId="urn:microsoft.com/office/officeart/2005/8/layout/hierarchy2"/>
    <dgm:cxn modelId="{26152D67-2AAE-4FDB-AA74-5ED26DEC6E27}" type="presOf" srcId="{AF193331-1625-4F49-8066-4E5BB97A0EDF}" destId="{D69BDEA0-6E78-4C62-B14F-49E8C4FC1C7D}" srcOrd="0" destOrd="0" presId="urn:microsoft.com/office/officeart/2005/8/layout/hierarchy2"/>
    <dgm:cxn modelId="{7D9E084C-B3F7-4816-85CE-D7AF4FD8AE8D}" type="presOf" srcId="{AF193331-1625-4F49-8066-4E5BB97A0EDF}" destId="{0A4E7664-5B49-4D60-A16F-8F2143E0F1B8}" srcOrd="1" destOrd="0" presId="urn:microsoft.com/office/officeart/2005/8/layout/hierarchy2"/>
    <dgm:cxn modelId="{AD25D319-C27F-497E-B9A6-37574E087E13}" type="presOf" srcId="{B75F2337-3875-46C5-8EEF-596272B5113C}" destId="{AC0A8459-CB6A-4B4C-B203-E697F03159A9}" srcOrd="0" destOrd="0" presId="urn:microsoft.com/office/officeart/2005/8/layout/hierarchy2"/>
    <dgm:cxn modelId="{8260B34E-6364-4FEC-9084-686F5AEA793B}" srcId="{AC4CAE37-9F57-4B17-8A6C-BE661FC04C77}" destId="{1C90A126-C815-4D25-BDE8-E22A83B984FF}" srcOrd="3" destOrd="0" parTransId="{8D6D7A64-DC23-41AF-A147-99DED1DA24D7}" sibTransId="{C81FF932-895B-4099-94BF-1E8F717B5853}"/>
    <dgm:cxn modelId="{C90EA874-50DC-44C9-B8D9-15DF5410601A}" srcId="{8DF08B43-40B0-4150-B732-FF238E649DA2}" destId="{AC4CAE37-9F57-4B17-8A6C-BE661FC04C77}" srcOrd="0" destOrd="0" parTransId="{B1424F7D-3A9B-4E62-9F2D-35BB095EEB90}" sibTransId="{6BAD716F-2FFA-4403-A598-A298123D4F8D}"/>
    <dgm:cxn modelId="{E2E64096-E90E-4B91-9C0E-5A62FB3072A4}" type="presOf" srcId="{103934F5-E7C9-499A-BD68-21FA4769A675}" destId="{AA101216-1ECB-435F-BFCC-D294878FB931}" srcOrd="1" destOrd="0" presId="urn:microsoft.com/office/officeart/2005/8/layout/hierarchy2"/>
    <dgm:cxn modelId="{1B5385A1-CA85-49D3-84E9-2691B14862E4}" srcId="{AC4CAE37-9F57-4B17-8A6C-BE661FC04C77}" destId="{0B2B4E98-7992-432D-899A-8D16C8DF003C}" srcOrd="9" destOrd="0" parTransId="{F403FFEE-414A-4892-A693-FDBC8BE25967}" sibTransId="{46480BEE-75E3-4B76-86A7-45EC58C1BB81}"/>
    <dgm:cxn modelId="{BFEB898B-C5EE-4D7E-926B-8F22D49FC748}" type="presOf" srcId="{0B2B4E98-7992-432D-899A-8D16C8DF003C}" destId="{0AD29BB1-46E7-407C-A6C0-B538F1B050AA}" srcOrd="0" destOrd="0" presId="urn:microsoft.com/office/officeart/2005/8/layout/hierarchy2"/>
    <dgm:cxn modelId="{11BE57A0-2CE3-4066-9333-7B270D95074E}" type="presOf" srcId="{B510DB61-82A2-4FC0-B7E0-070A097978D0}" destId="{EB6135A5-D4DC-48B9-A015-1E0EE6B302C3}" srcOrd="1" destOrd="0" presId="urn:microsoft.com/office/officeart/2005/8/layout/hierarchy2"/>
    <dgm:cxn modelId="{10D785E7-1D76-47D6-AC9F-55F1EC157E1F}" srcId="{AC4CAE37-9F57-4B17-8A6C-BE661FC04C77}" destId="{69269DDD-B232-408B-A872-90C766F11386}" srcOrd="1" destOrd="0" parTransId="{3E9584B8-8DEB-4BAC-95BB-0C6EA2AA8D6D}" sibTransId="{06B8B3E3-0D64-4670-8DC4-7AB5A461866A}"/>
    <dgm:cxn modelId="{8E74410B-373B-45AD-9BDF-80255CB0C8C9}" type="presOf" srcId="{0FAB2C75-C356-4EAE-9478-8A7ADC98E138}" destId="{02785C54-AF88-4E17-88AC-F2D4B1E032AE}" srcOrd="1" destOrd="0" presId="urn:microsoft.com/office/officeart/2005/8/layout/hierarchy2"/>
    <dgm:cxn modelId="{F45879D3-51A4-4DB1-AF62-D23051BA2E5E}" srcId="{AC4CAE37-9F57-4B17-8A6C-BE661FC04C77}" destId="{9D66DCCF-1201-4481-BB8A-695A3CB229D5}" srcOrd="5" destOrd="0" parTransId="{644FDF47-B42F-4E99-A297-41F7F22CCD51}" sibTransId="{13975FA4-D810-4B0F-8406-06888E299FF9}"/>
    <dgm:cxn modelId="{04E3A065-4065-4303-8C39-77DB54FA0CE7}" srcId="{AC4CAE37-9F57-4B17-8A6C-BE661FC04C77}" destId="{2A98E9FA-9AD3-4D07-9599-2189865A23E8}" srcOrd="12" destOrd="0" parTransId="{B510DB61-82A2-4FC0-B7E0-070A097978D0}" sibTransId="{537A0735-D4B2-49C1-BC4C-5A4BCEA5F24F}"/>
    <dgm:cxn modelId="{9A60A436-94DA-45E4-AE16-47EC32608003}" srcId="{AC4CAE37-9F57-4B17-8A6C-BE661FC04C77}" destId="{C81873CF-93CD-40D8-812C-60B0892D8108}" srcOrd="7" destOrd="0" parTransId="{A0F56F3D-AB63-4B35-9003-C2F4AF2EF5E2}" sibTransId="{8DA7015A-C414-42BA-9E04-A59C3BB1A1C1}"/>
    <dgm:cxn modelId="{E0C38F1F-B32F-4F7B-B314-7CA52D6E863F}" type="presOf" srcId="{6334BA85-692C-4F08-AC98-9508EB544A22}" destId="{44A1A8BD-D127-43F2-BD18-2B24E952608A}" srcOrd="0" destOrd="0" presId="urn:microsoft.com/office/officeart/2005/8/layout/hierarchy2"/>
    <dgm:cxn modelId="{60BE5E2A-4BCF-4329-B305-5866FACF1D50}" type="presOf" srcId="{7A231FBA-325B-4A17-A5F6-9FB9D2A79A40}" destId="{A573E777-DEDA-463A-92D5-D5DA3F415576}" srcOrd="0" destOrd="0" presId="urn:microsoft.com/office/officeart/2005/8/layout/hierarchy2"/>
    <dgm:cxn modelId="{E97CBD2A-9324-4EDC-969B-F3948F5F2DBC}" srcId="{AC4CAE37-9F57-4B17-8A6C-BE661FC04C77}" destId="{AAF2456E-1BB8-4DD2-9EAE-E2142151313C}" srcOrd="0" destOrd="0" parTransId="{8EB8591C-1DD0-432D-9B8B-8F414295A5CF}" sibTransId="{074B26AA-A4D7-4C78-BD99-9D1144484FE7}"/>
    <dgm:cxn modelId="{9EB94505-4325-4E13-A3A6-3A5240B64B57}" type="presOf" srcId="{1C90A126-C815-4D25-BDE8-E22A83B984FF}" destId="{A8B2CCFE-9F81-4842-BF2B-666C64943083}" srcOrd="0" destOrd="0" presId="urn:microsoft.com/office/officeart/2005/8/layout/hierarchy2"/>
    <dgm:cxn modelId="{EF4BF5D2-DDE3-454A-BA97-C97FC1762501}" type="presOf" srcId="{CACDF775-4967-4042-BFDD-33310B7EB9C5}" destId="{B6CE9615-C795-4968-9731-1E98BBEF7336}" srcOrd="0" destOrd="0" presId="urn:microsoft.com/office/officeart/2005/8/layout/hierarchy2"/>
    <dgm:cxn modelId="{A56E59DB-0B22-4FA9-BC60-2DDC609B24E0}" type="presOf" srcId="{8EB8591C-1DD0-432D-9B8B-8F414295A5CF}" destId="{1A3841AD-2E64-45B6-A12D-B2E30200A4F6}" srcOrd="0" destOrd="0" presId="urn:microsoft.com/office/officeart/2005/8/layout/hierarchy2"/>
    <dgm:cxn modelId="{E8EA518C-196E-4F29-BDEA-C177546A496B}" type="presParOf" srcId="{19F0CCFB-4452-49C2-8102-6606E125C381}" destId="{C2342503-3C77-4C39-890F-CDFBB82029C9}" srcOrd="0" destOrd="0" presId="urn:microsoft.com/office/officeart/2005/8/layout/hierarchy2"/>
    <dgm:cxn modelId="{A9E709AF-C7E4-46CB-ACF6-6CD487BD4AEF}" type="presParOf" srcId="{C2342503-3C77-4C39-890F-CDFBB82029C9}" destId="{E9291548-375E-465B-8E21-5F819C1C9947}" srcOrd="0" destOrd="0" presId="urn:microsoft.com/office/officeart/2005/8/layout/hierarchy2"/>
    <dgm:cxn modelId="{6299AB02-8A43-4DA2-9882-75022C8364A6}" type="presParOf" srcId="{C2342503-3C77-4C39-890F-CDFBB82029C9}" destId="{6F25DA83-0135-467A-BA8F-442424CACCC3}" srcOrd="1" destOrd="0" presId="urn:microsoft.com/office/officeart/2005/8/layout/hierarchy2"/>
    <dgm:cxn modelId="{662E3BD2-9933-4530-A338-9C7D99457BE5}" type="presParOf" srcId="{6F25DA83-0135-467A-BA8F-442424CACCC3}" destId="{1A3841AD-2E64-45B6-A12D-B2E30200A4F6}" srcOrd="0" destOrd="0" presId="urn:microsoft.com/office/officeart/2005/8/layout/hierarchy2"/>
    <dgm:cxn modelId="{07CC44CD-D9B9-4D2F-BFF5-9BCF2CD677B3}" type="presParOf" srcId="{1A3841AD-2E64-45B6-A12D-B2E30200A4F6}" destId="{8D1B238C-B4A3-4236-BCE9-0DE9BB603A2C}" srcOrd="0" destOrd="0" presId="urn:microsoft.com/office/officeart/2005/8/layout/hierarchy2"/>
    <dgm:cxn modelId="{B091DDDA-71FF-42AE-A221-A3FA6BB37D2D}" type="presParOf" srcId="{6F25DA83-0135-467A-BA8F-442424CACCC3}" destId="{1A34378F-F969-4153-BDE2-91D17A888DF1}" srcOrd="1" destOrd="0" presId="urn:microsoft.com/office/officeart/2005/8/layout/hierarchy2"/>
    <dgm:cxn modelId="{3BE9F61A-927D-4968-B6C0-C49D8D18EF72}" type="presParOf" srcId="{1A34378F-F969-4153-BDE2-91D17A888DF1}" destId="{AF99F19C-39D5-439A-9812-C2FE336C5F78}" srcOrd="0" destOrd="0" presId="urn:microsoft.com/office/officeart/2005/8/layout/hierarchy2"/>
    <dgm:cxn modelId="{52ED7B8C-7072-4F61-964E-10A859EBE10D}" type="presParOf" srcId="{1A34378F-F969-4153-BDE2-91D17A888DF1}" destId="{606AD66D-D43A-4F8D-BE2A-6280FA6CB25F}" srcOrd="1" destOrd="0" presId="urn:microsoft.com/office/officeart/2005/8/layout/hierarchy2"/>
    <dgm:cxn modelId="{C9BCE009-F455-4ADE-8B3D-234D3FB10904}" type="presParOf" srcId="{6F25DA83-0135-467A-BA8F-442424CACCC3}" destId="{4495D9C4-D750-4856-9FF3-AE1D99593EB7}" srcOrd="2" destOrd="0" presId="urn:microsoft.com/office/officeart/2005/8/layout/hierarchy2"/>
    <dgm:cxn modelId="{EAE85606-155C-4E1D-9364-72E9901E5FAE}" type="presParOf" srcId="{4495D9C4-D750-4856-9FF3-AE1D99593EB7}" destId="{802181B3-5785-4FC7-9363-BBDC449F7ED6}" srcOrd="0" destOrd="0" presId="urn:microsoft.com/office/officeart/2005/8/layout/hierarchy2"/>
    <dgm:cxn modelId="{81BE326B-0311-463B-8B29-9858F019A70B}" type="presParOf" srcId="{6F25DA83-0135-467A-BA8F-442424CACCC3}" destId="{DE9AEB09-4E46-4371-B31E-1AAE091A12BE}" srcOrd="3" destOrd="0" presId="urn:microsoft.com/office/officeart/2005/8/layout/hierarchy2"/>
    <dgm:cxn modelId="{BA4547B7-A2ED-4FA1-9C7F-3DA7B8BC6D48}" type="presParOf" srcId="{DE9AEB09-4E46-4371-B31E-1AAE091A12BE}" destId="{AE7C5EF6-E161-4DE1-8787-9A3284362258}" srcOrd="0" destOrd="0" presId="urn:microsoft.com/office/officeart/2005/8/layout/hierarchy2"/>
    <dgm:cxn modelId="{61CACC12-BD3C-4CBB-9A86-D4779343DCCD}" type="presParOf" srcId="{DE9AEB09-4E46-4371-B31E-1AAE091A12BE}" destId="{33CDEA14-FF7B-4D30-B684-7A9B4FC96624}" srcOrd="1" destOrd="0" presId="urn:microsoft.com/office/officeart/2005/8/layout/hierarchy2"/>
    <dgm:cxn modelId="{802D0916-EB3B-4071-9187-75FB022C0013}" type="presParOf" srcId="{6F25DA83-0135-467A-BA8F-442424CACCC3}" destId="{44A1A8BD-D127-43F2-BD18-2B24E952608A}" srcOrd="4" destOrd="0" presId="urn:microsoft.com/office/officeart/2005/8/layout/hierarchy2"/>
    <dgm:cxn modelId="{5B859792-CA5B-4D77-95DB-2F1D5252F26A}" type="presParOf" srcId="{44A1A8BD-D127-43F2-BD18-2B24E952608A}" destId="{399D2D25-D287-4E88-9399-CD7011AB8271}" srcOrd="0" destOrd="0" presId="urn:microsoft.com/office/officeart/2005/8/layout/hierarchy2"/>
    <dgm:cxn modelId="{4B251A1B-FEB9-4510-8C5F-8815ACEA6BA0}" type="presParOf" srcId="{6F25DA83-0135-467A-BA8F-442424CACCC3}" destId="{8F3D07DB-2558-4AC0-BF26-EDB6317FFC93}" srcOrd="5" destOrd="0" presId="urn:microsoft.com/office/officeart/2005/8/layout/hierarchy2"/>
    <dgm:cxn modelId="{A61ACDD8-8A23-4C7F-8DA9-A6EECEF9F1C1}" type="presParOf" srcId="{8F3D07DB-2558-4AC0-BF26-EDB6317FFC93}" destId="{E2D8776D-4D1D-48FC-AE9F-B8C504A7CA24}" srcOrd="0" destOrd="0" presId="urn:microsoft.com/office/officeart/2005/8/layout/hierarchy2"/>
    <dgm:cxn modelId="{A1B118BD-BEA4-4F54-848F-8C8A415001E0}" type="presParOf" srcId="{8F3D07DB-2558-4AC0-BF26-EDB6317FFC93}" destId="{9039C337-5BEC-4949-B883-CC05AE3ADEB8}" srcOrd="1" destOrd="0" presId="urn:microsoft.com/office/officeart/2005/8/layout/hierarchy2"/>
    <dgm:cxn modelId="{C3887F74-7919-43AD-99F5-66ADBC00C639}" type="presParOf" srcId="{6F25DA83-0135-467A-BA8F-442424CACCC3}" destId="{5DCEB65A-9692-4BB4-80F4-CC4E60A3BDAD}" srcOrd="6" destOrd="0" presId="urn:microsoft.com/office/officeart/2005/8/layout/hierarchy2"/>
    <dgm:cxn modelId="{ECF5D4AA-CCED-4558-9EFC-8C965B2E141C}" type="presParOf" srcId="{5DCEB65A-9692-4BB4-80F4-CC4E60A3BDAD}" destId="{E5802548-0C20-46F5-A3F6-7AACE2CC4F92}" srcOrd="0" destOrd="0" presId="urn:microsoft.com/office/officeart/2005/8/layout/hierarchy2"/>
    <dgm:cxn modelId="{E803084F-D34C-465F-8C1A-F1C630353A30}" type="presParOf" srcId="{6F25DA83-0135-467A-BA8F-442424CACCC3}" destId="{7879FBA4-1775-43BC-9713-222299EA0BE8}" srcOrd="7" destOrd="0" presId="urn:microsoft.com/office/officeart/2005/8/layout/hierarchy2"/>
    <dgm:cxn modelId="{D902D911-B496-4E6D-A994-72EBD6B6295D}" type="presParOf" srcId="{7879FBA4-1775-43BC-9713-222299EA0BE8}" destId="{A8B2CCFE-9F81-4842-BF2B-666C64943083}" srcOrd="0" destOrd="0" presId="urn:microsoft.com/office/officeart/2005/8/layout/hierarchy2"/>
    <dgm:cxn modelId="{017FC5B8-F85D-4DB7-9F28-2C0B19AB9D01}" type="presParOf" srcId="{7879FBA4-1775-43BC-9713-222299EA0BE8}" destId="{3124DC6E-5915-4A2D-8634-8EB734FFCE89}" srcOrd="1" destOrd="0" presId="urn:microsoft.com/office/officeart/2005/8/layout/hierarchy2"/>
    <dgm:cxn modelId="{04BD6166-1072-465A-9E55-2ED5A9701562}" type="presParOf" srcId="{6F25DA83-0135-467A-BA8F-442424CACCC3}" destId="{90EA394C-B704-43E6-A15F-33FE29CCA610}" srcOrd="8" destOrd="0" presId="urn:microsoft.com/office/officeart/2005/8/layout/hierarchy2"/>
    <dgm:cxn modelId="{A19C15A2-451F-4B58-8A99-0FE5E843627B}" type="presParOf" srcId="{90EA394C-B704-43E6-A15F-33FE29CCA610}" destId="{AA101216-1ECB-435F-BFCC-D294878FB931}" srcOrd="0" destOrd="0" presId="urn:microsoft.com/office/officeart/2005/8/layout/hierarchy2"/>
    <dgm:cxn modelId="{8B9A547C-360A-4378-A662-810C055FC20D}" type="presParOf" srcId="{6F25DA83-0135-467A-BA8F-442424CACCC3}" destId="{9EC2DE3B-404A-49D2-BBFE-CBD7E3CBE798}" srcOrd="9" destOrd="0" presId="urn:microsoft.com/office/officeart/2005/8/layout/hierarchy2"/>
    <dgm:cxn modelId="{C552819B-E389-40B3-91C0-377BC214FC28}" type="presParOf" srcId="{9EC2DE3B-404A-49D2-BBFE-CBD7E3CBE798}" destId="{2BE5122C-660C-49B4-A146-78D3D1053167}" srcOrd="0" destOrd="0" presId="urn:microsoft.com/office/officeart/2005/8/layout/hierarchy2"/>
    <dgm:cxn modelId="{74070EAE-992A-466A-8134-AE5170D0C282}" type="presParOf" srcId="{9EC2DE3B-404A-49D2-BBFE-CBD7E3CBE798}" destId="{5F7F975F-321A-4EB5-A2F0-5752B40DF9E7}" srcOrd="1" destOrd="0" presId="urn:microsoft.com/office/officeart/2005/8/layout/hierarchy2"/>
    <dgm:cxn modelId="{5F4FC3F1-2556-41E0-8E8B-C344D3444F93}" type="presParOf" srcId="{6F25DA83-0135-467A-BA8F-442424CACCC3}" destId="{F9F6D606-7EBE-4143-8DA3-BBD4AFF77EE1}" srcOrd="10" destOrd="0" presId="urn:microsoft.com/office/officeart/2005/8/layout/hierarchy2"/>
    <dgm:cxn modelId="{7C288D31-360C-4CA8-8E56-17EBE8E5F1A0}" type="presParOf" srcId="{F9F6D606-7EBE-4143-8DA3-BBD4AFF77EE1}" destId="{D520AD19-F3EA-4E14-8D78-CEC18938DFF0}" srcOrd="0" destOrd="0" presId="urn:microsoft.com/office/officeart/2005/8/layout/hierarchy2"/>
    <dgm:cxn modelId="{E0A35589-59A9-484B-8379-C86CDFED7F78}" type="presParOf" srcId="{6F25DA83-0135-467A-BA8F-442424CACCC3}" destId="{AFD2640A-22AC-4150-BCD3-D3559502DF7C}" srcOrd="11" destOrd="0" presId="urn:microsoft.com/office/officeart/2005/8/layout/hierarchy2"/>
    <dgm:cxn modelId="{A014E4C1-60A8-4A51-9B2C-9700A306065D}" type="presParOf" srcId="{AFD2640A-22AC-4150-BCD3-D3559502DF7C}" destId="{8E73CB4C-ACD9-45CA-9DDF-168FDE21A72C}" srcOrd="0" destOrd="0" presId="urn:microsoft.com/office/officeart/2005/8/layout/hierarchy2"/>
    <dgm:cxn modelId="{F1B681EC-BA9E-4104-A402-E40F0F19423D}" type="presParOf" srcId="{AFD2640A-22AC-4150-BCD3-D3559502DF7C}" destId="{37711929-7987-4506-801B-1EACB39DDD47}" srcOrd="1" destOrd="0" presId="urn:microsoft.com/office/officeart/2005/8/layout/hierarchy2"/>
    <dgm:cxn modelId="{DA1B84EC-F87D-4C11-BD70-F5E9270B81B2}" type="presParOf" srcId="{6F25DA83-0135-467A-BA8F-442424CACCC3}" destId="{D69BDEA0-6E78-4C62-B14F-49E8C4FC1C7D}" srcOrd="12" destOrd="0" presId="urn:microsoft.com/office/officeart/2005/8/layout/hierarchy2"/>
    <dgm:cxn modelId="{597B61B6-7961-4F81-B05E-B31A6C82A577}" type="presParOf" srcId="{D69BDEA0-6E78-4C62-B14F-49E8C4FC1C7D}" destId="{0A4E7664-5B49-4D60-A16F-8F2143E0F1B8}" srcOrd="0" destOrd="0" presId="urn:microsoft.com/office/officeart/2005/8/layout/hierarchy2"/>
    <dgm:cxn modelId="{5B8802E9-FA6D-4513-9E34-898FC2D472EC}" type="presParOf" srcId="{6F25DA83-0135-467A-BA8F-442424CACCC3}" destId="{BBF4EC49-C032-45B9-810A-319384F1EAB1}" srcOrd="13" destOrd="0" presId="urn:microsoft.com/office/officeart/2005/8/layout/hierarchy2"/>
    <dgm:cxn modelId="{0D35A432-AF75-4999-A29C-66BF1096847F}" type="presParOf" srcId="{BBF4EC49-C032-45B9-810A-319384F1EAB1}" destId="{EEC31B41-5F47-44A9-8C56-55790B73D12A}" srcOrd="0" destOrd="0" presId="urn:microsoft.com/office/officeart/2005/8/layout/hierarchy2"/>
    <dgm:cxn modelId="{07FD93E9-B8EA-46CA-A61F-86F0680411AB}" type="presParOf" srcId="{BBF4EC49-C032-45B9-810A-319384F1EAB1}" destId="{8764A869-7C90-4CC2-8083-D24F96E56A35}" srcOrd="1" destOrd="0" presId="urn:microsoft.com/office/officeart/2005/8/layout/hierarchy2"/>
    <dgm:cxn modelId="{6F90DCA7-CD16-4BE3-B540-61BA9CC0503C}" type="presParOf" srcId="{6F25DA83-0135-467A-BA8F-442424CACCC3}" destId="{3CE00AC1-4944-47BD-AD38-8E645AC0740A}" srcOrd="14" destOrd="0" presId="urn:microsoft.com/office/officeart/2005/8/layout/hierarchy2"/>
    <dgm:cxn modelId="{3D77A276-2A31-4CAA-8D4F-40F30031FD97}" type="presParOf" srcId="{3CE00AC1-4944-47BD-AD38-8E645AC0740A}" destId="{69EDFACA-2FE5-423A-87AD-107CC55F6A6F}" srcOrd="0" destOrd="0" presId="urn:microsoft.com/office/officeart/2005/8/layout/hierarchy2"/>
    <dgm:cxn modelId="{77967AEF-BDE3-4EF6-B090-35672E3CE8CC}" type="presParOf" srcId="{6F25DA83-0135-467A-BA8F-442424CACCC3}" destId="{B8EF8C5A-C16B-4B3C-B406-18B2AFD0810C}" srcOrd="15" destOrd="0" presId="urn:microsoft.com/office/officeart/2005/8/layout/hierarchy2"/>
    <dgm:cxn modelId="{6B4DAA34-1110-4EB3-A626-D0397F1B8E38}" type="presParOf" srcId="{B8EF8C5A-C16B-4B3C-B406-18B2AFD0810C}" destId="{147F0E5A-433E-4477-AEBF-4576E4A00E94}" srcOrd="0" destOrd="0" presId="urn:microsoft.com/office/officeart/2005/8/layout/hierarchy2"/>
    <dgm:cxn modelId="{8CFB307C-16A4-4D86-BF5E-03D8CEA65342}" type="presParOf" srcId="{B8EF8C5A-C16B-4B3C-B406-18B2AFD0810C}" destId="{46DD85FA-50FB-4D36-BB96-6AAF668157E8}" srcOrd="1" destOrd="0" presId="urn:microsoft.com/office/officeart/2005/8/layout/hierarchy2"/>
    <dgm:cxn modelId="{C510729A-3873-4588-A1A5-1CAE59F016C3}" type="presParOf" srcId="{6F25DA83-0135-467A-BA8F-442424CACCC3}" destId="{BE9CABF5-443F-4F29-9C36-A5483B0246F0}" srcOrd="16" destOrd="0" presId="urn:microsoft.com/office/officeart/2005/8/layout/hierarchy2"/>
    <dgm:cxn modelId="{3FD20F2C-D153-4E33-B95B-43B552B0CEDB}" type="presParOf" srcId="{BE9CABF5-443F-4F29-9C36-A5483B0246F0}" destId="{02785C54-AF88-4E17-88AC-F2D4B1E032AE}" srcOrd="0" destOrd="0" presId="urn:microsoft.com/office/officeart/2005/8/layout/hierarchy2"/>
    <dgm:cxn modelId="{CB90F25F-6F57-474E-8DE6-7E17DC36F426}" type="presParOf" srcId="{6F25DA83-0135-467A-BA8F-442424CACCC3}" destId="{68418BCE-09C1-4D6D-9F83-3CFA5D6881DF}" srcOrd="17" destOrd="0" presId="urn:microsoft.com/office/officeart/2005/8/layout/hierarchy2"/>
    <dgm:cxn modelId="{74B59E4D-0026-40D5-B549-07775581C3EE}" type="presParOf" srcId="{68418BCE-09C1-4D6D-9F83-3CFA5D6881DF}" destId="{A27A4C20-07C3-43D8-8E3C-8B607BDAB0FD}" srcOrd="0" destOrd="0" presId="urn:microsoft.com/office/officeart/2005/8/layout/hierarchy2"/>
    <dgm:cxn modelId="{60DF7615-068F-4FEE-BEB6-6CCA94729A48}" type="presParOf" srcId="{68418BCE-09C1-4D6D-9F83-3CFA5D6881DF}" destId="{B6C72168-7588-422F-A5AA-9DF9444D0F8C}" srcOrd="1" destOrd="0" presId="urn:microsoft.com/office/officeart/2005/8/layout/hierarchy2"/>
    <dgm:cxn modelId="{C927398B-EA51-48FD-9BC4-2C6D92A650A8}" type="presParOf" srcId="{6F25DA83-0135-467A-BA8F-442424CACCC3}" destId="{384A75F0-4F17-4F1E-B342-BC2487C393FB}" srcOrd="18" destOrd="0" presId="urn:microsoft.com/office/officeart/2005/8/layout/hierarchy2"/>
    <dgm:cxn modelId="{E91F6079-F8C7-4750-A3A7-E58C8BA9A114}" type="presParOf" srcId="{384A75F0-4F17-4F1E-B342-BC2487C393FB}" destId="{3D835AB2-8A44-4E18-8918-E3D07CAF08E2}" srcOrd="0" destOrd="0" presId="urn:microsoft.com/office/officeart/2005/8/layout/hierarchy2"/>
    <dgm:cxn modelId="{BC983DF3-DCAD-46E1-8F65-B5B3AD08909C}" type="presParOf" srcId="{6F25DA83-0135-467A-BA8F-442424CACCC3}" destId="{ABFFC206-2A3E-475F-8F5E-015430016E99}" srcOrd="19" destOrd="0" presId="urn:microsoft.com/office/officeart/2005/8/layout/hierarchy2"/>
    <dgm:cxn modelId="{913D4961-7B23-4F40-B88D-3121D837B8A2}" type="presParOf" srcId="{ABFFC206-2A3E-475F-8F5E-015430016E99}" destId="{0AD29BB1-46E7-407C-A6C0-B538F1B050AA}" srcOrd="0" destOrd="0" presId="urn:microsoft.com/office/officeart/2005/8/layout/hierarchy2"/>
    <dgm:cxn modelId="{FC63B12D-5612-4C9B-B065-A6025FCF883C}" type="presParOf" srcId="{ABFFC206-2A3E-475F-8F5E-015430016E99}" destId="{2915AD69-6F0A-424F-A9B8-A073DF09DBD8}" srcOrd="1" destOrd="0" presId="urn:microsoft.com/office/officeart/2005/8/layout/hierarchy2"/>
    <dgm:cxn modelId="{B7A1ED78-6E4C-48F1-A596-9008DB215441}" type="presParOf" srcId="{6F25DA83-0135-467A-BA8F-442424CACCC3}" destId="{A573E777-DEDA-463A-92D5-D5DA3F415576}" srcOrd="20" destOrd="0" presId="urn:microsoft.com/office/officeart/2005/8/layout/hierarchy2"/>
    <dgm:cxn modelId="{CFF85032-FADB-4FD4-BB5A-73DFAD9C32EB}" type="presParOf" srcId="{A573E777-DEDA-463A-92D5-D5DA3F415576}" destId="{52F24478-0502-49EC-9C95-B3C334A27829}" srcOrd="0" destOrd="0" presId="urn:microsoft.com/office/officeart/2005/8/layout/hierarchy2"/>
    <dgm:cxn modelId="{4E38437D-CB72-4C3B-8E20-F989AD30C94C}" type="presParOf" srcId="{6F25DA83-0135-467A-BA8F-442424CACCC3}" destId="{A453E776-FD7F-4726-AC86-9A89279B9602}" srcOrd="21" destOrd="0" presId="urn:microsoft.com/office/officeart/2005/8/layout/hierarchy2"/>
    <dgm:cxn modelId="{15FB4E61-59FD-4803-86F9-916EB9D10E5F}" type="presParOf" srcId="{A453E776-FD7F-4726-AC86-9A89279B9602}" destId="{B6CE9615-C795-4968-9731-1E98BBEF7336}" srcOrd="0" destOrd="0" presId="urn:microsoft.com/office/officeart/2005/8/layout/hierarchy2"/>
    <dgm:cxn modelId="{EF35DE33-6A6B-4F84-AA9C-270AC74E83AB}" type="presParOf" srcId="{A453E776-FD7F-4726-AC86-9A89279B9602}" destId="{E6EB0AF5-F51B-4594-B937-112F824D5695}" srcOrd="1" destOrd="0" presId="urn:microsoft.com/office/officeart/2005/8/layout/hierarchy2"/>
    <dgm:cxn modelId="{9F94D684-A5A9-4710-9343-2ADC8A70E0EA}" type="presParOf" srcId="{6F25DA83-0135-467A-BA8F-442424CACCC3}" destId="{83A6C7D1-D22B-4E11-9DF8-52CE1430A141}" srcOrd="22" destOrd="0" presId="urn:microsoft.com/office/officeart/2005/8/layout/hierarchy2"/>
    <dgm:cxn modelId="{EFAF1B49-CAB0-4D56-A474-544043532AB1}" type="presParOf" srcId="{83A6C7D1-D22B-4E11-9DF8-52CE1430A141}" destId="{0524FE92-389D-4FB0-BEC4-D160DF6431F6}" srcOrd="0" destOrd="0" presId="urn:microsoft.com/office/officeart/2005/8/layout/hierarchy2"/>
    <dgm:cxn modelId="{D3186C59-7C29-4A80-A672-03E0CAF6503D}" type="presParOf" srcId="{6F25DA83-0135-467A-BA8F-442424CACCC3}" destId="{3D698345-E809-46D2-8F46-9778728C15C7}" srcOrd="23" destOrd="0" presId="urn:microsoft.com/office/officeart/2005/8/layout/hierarchy2"/>
    <dgm:cxn modelId="{57BEADE7-2652-4719-9838-1885542AA5B6}" type="presParOf" srcId="{3D698345-E809-46D2-8F46-9778728C15C7}" destId="{AC0A8459-CB6A-4B4C-B203-E697F03159A9}" srcOrd="0" destOrd="0" presId="urn:microsoft.com/office/officeart/2005/8/layout/hierarchy2"/>
    <dgm:cxn modelId="{171ADF23-CE7B-49AD-8839-58C48EA86060}" type="presParOf" srcId="{3D698345-E809-46D2-8F46-9778728C15C7}" destId="{CC548AA7-18A4-4E4A-82D8-C46CAB5E40B8}" srcOrd="1" destOrd="0" presId="urn:microsoft.com/office/officeart/2005/8/layout/hierarchy2"/>
    <dgm:cxn modelId="{6B9C8657-8C82-4E46-9EF1-53A38CB665B9}" type="presParOf" srcId="{6F25DA83-0135-467A-BA8F-442424CACCC3}" destId="{CBA31705-83ED-4C22-BB24-2CAB6C25DF2B}" srcOrd="24" destOrd="0" presId="urn:microsoft.com/office/officeart/2005/8/layout/hierarchy2"/>
    <dgm:cxn modelId="{785661F4-8A46-47A2-B225-8C3A12B338D2}" type="presParOf" srcId="{CBA31705-83ED-4C22-BB24-2CAB6C25DF2B}" destId="{EB6135A5-D4DC-48B9-A015-1E0EE6B302C3}" srcOrd="0" destOrd="0" presId="urn:microsoft.com/office/officeart/2005/8/layout/hierarchy2"/>
    <dgm:cxn modelId="{3CDC3887-EF2C-445B-AAC2-025134D4562D}" type="presParOf" srcId="{6F25DA83-0135-467A-BA8F-442424CACCC3}" destId="{0114D5F3-5232-40AC-A2FA-9B461FC8782B}" srcOrd="25" destOrd="0" presId="urn:microsoft.com/office/officeart/2005/8/layout/hierarchy2"/>
    <dgm:cxn modelId="{155A83E1-2BD8-4399-81BB-3788BCEDB931}" type="presParOf" srcId="{0114D5F3-5232-40AC-A2FA-9B461FC8782B}" destId="{A0550E8C-14DE-4F8B-B163-8032B2628D5D}" srcOrd="0" destOrd="0" presId="urn:microsoft.com/office/officeart/2005/8/layout/hierarchy2"/>
    <dgm:cxn modelId="{063CE338-B3AD-401C-8858-7E3D7B8593D1}" type="presParOf" srcId="{0114D5F3-5232-40AC-A2FA-9B461FC8782B}" destId="{042BE72E-5084-4C81-883E-FF2D478308B7}" srcOrd="1" destOrd="0" presId="urn:microsoft.com/office/officeart/2005/8/layout/hierarchy2"/>
  </dgm:cxnLst>
  <dgm:bg>
    <a:noFill/>
  </dgm:bg>
  <dgm:whole/>
</dgm:dataModel>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Flujo">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Lic08</b:Tag>
    <b:SourceType>Book</b:SourceType>
    <b:Guid>{19D48CBB-4CBB-458B-978A-4030884DCDCF}</b:Guid>
    <b:Author>
      <b:Author>
        <b:NameList>
          <b:Person>
            <b:Last>Zambrano</b:Last>
            <b:First>Lic.Rodrigo</b:First>
          </b:Person>
        </b:NameList>
      </b:Author>
    </b:Author>
    <b:Title>NIII</b:Title>
    <b:Year>2008</b:Year>
    <b:Publisher>EDICONTAB</b:Publisher>
    <b:RefOrder>12</b:RefOrder>
  </b:Source>
</b:Sources>
</file>

<file path=customXml/itemProps1.xml><?xml version="1.0" encoding="utf-8"?>
<ds:datastoreItem xmlns:ds="http://schemas.openxmlformats.org/officeDocument/2006/customXml" ds:itemID="{F2BB2E2F-E5F6-43E4-BDF4-29984CF04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5280</Words>
  <Characters>29043</Characters>
  <Application>Microsoft Office Word</Application>
  <DocSecurity>0</DocSecurity>
  <Lines>242</Lines>
  <Paragraphs>68</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34255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dc:creator>
  <cp:lastModifiedBy>juan</cp:lastModifiedBy>
  <cp:revision>2</cp:revision>
  <dcterms:created xsi:type="dcterms:W3CDTF">2013-03-18T19:17:00Z</dcterms:created>
  <dcterms:modified xsi:type="dcterms:W3CDTF">2013-03-18T19:17:00Z</dcterms:modified>
</cp:coreProperties>
</file>